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169E1" w:rsidP="7E3D1491" w:rsidRDefault="384B9DD9" w14:paraId="3169486B" w14:textId="77777777">
      <w:pPr>
        <w:pStyle w:val="NoSpacing"/>
        <w:jc w:val="righ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Załącznik nr </w:t>
      </w:r>
      <w:r w:rsidRPr="002169E1" w:rsidR="008137E1">
        <w:rPr>
          <w:rFonts w:eastAsia="Times New Roman" w:asciiTheme="majorHAnsi" w:hAnsiTheme="majorHAnsi" w:cstheme="majorHAnsi"/>
          <w:lang w:val="pl-PL"/>
        </w:rPr>
        <w:t>1</w:t>
      </w:r>
      <w:r w:rsidR="002169E1">
        <w:rPr>
          <w:rFonts w:eastAsia="Times New Roman" w:asciiTheme="majorHAnsi" w:hAnsiTheme="majorHAnsi" w:cstheme="majorHAnsi"/>
          <w:lang w:val="pl-PL"/>
        </w:rPr>
        <w:t xml:space="preserve"> do Zapytania Ofertowego</w:t>
      </w:r>
    </w:p>
    <w:p w:rsidRPr="002169E1" w:rsidR="384B9DD9" w:rsidP="7E3D1491" w:rsidRDefault="384B9DD9" w14:paraId="68C2D1EE" w14:textId="39920226">
      <w:pPr>
        <w:pStyle w:val="NoSpacing"/>
        <w:jc w:val="righ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 – Opis przedmiotu zamówienia</w:t>
      </w:r>
    </w:p>
    <w:p w:rsidRPr="002169E1" w:rsidR="00812CC2" w:rsidP="7E3D1491" w:rsidRDefault="00C053C7" w14:paraId="1A83FF4C" w14:textId="48A76910">
      <w:pPr>
        <w:pStyle w:val="Heading1"/>
        <w:jc w:val="center"/>
        <w:rPr>
          <w:rFonts w:eastAsia="Times New Roman" w:cstheme="majorHAnsi"/>
          <w:lang w:val="pl-PL"/>
        </w:rPr>
      </w:pPr>
      <w:r w:rsidRPr="002169E1">
        <w:rPr>
          <w:rFonts w:eastAsia="Times New Roman" w:cstheme="majorHAnsi"/>
          <w:lang w:val="pl-PL"/>
        </w:rPr>
        <w:t>Opis przedmiotu zamówienia</w:t>
      </w:r>
    </w:p>
    <w:p w:rsidRPr="002169E1" w:rsidR="00A95B04" w:rsidP="7E3D1491" w:rsidRDefault="00A95B04" w14:paraId="2E6AE97B" w14:textId="77777777">
      <w:pPr>
        <w:rPr>
          <w:rFonts w:eastAsia="Times New Roman" w:asciiTheme="majorHAnsi" w:hAnsiTheme="majorHAnsi" w:cstheme="majorHAnsi"/>
          <w:lang w:val="pl-PL"/>
        </w:rPr>
      </w:pPr>
    </w:p>
    <w:p w:rsidRPr="002169E1" w:rsidR="00812CC2" w:rsidP="7E3D1491" w:rsidRDefault="06C26B0D" w14:paraId="017DCB71" w14:textId="4C6A358D">
      <w:pPr>
        <w:spacing w:before="240" w:after="2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Przedmiotem zamówienia jest wykonanie kompleksowych prac remontowo-adaptacyjnych w siedzibie </w:t>
      </w:r>
      <w:r w:rsidRPr="002169E1" w:rsidR="332FCC87">
        <w:rPr>
          <w:rFonts w:eastAsia="Times New Roman" w:asciiTheme="majorHAnsi" w:hAnsiTheme="majorHAnsi" w:cstheme="majorHAnsi"/>
          <w:b/>
          <w:bCs/>
          <w:lang w:val="pl-PL"/>
        </w:rPr>
        <w:t>Uczelni Korczaka - Akademii Nauk Stosowanych, Wydział Warszawa przy ul. Lirowej 27</w:t>
      </w:r>
      <w:r w:rsidRPr="002169E1" w:rsidR="332FCC87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w ramach projektu „</w:t>
      </w:r>
      <w:r w:rsidRPr="002169E1">
        <w:rPr>
          <w:rFonts w:eastAsia="Times New Roman" w:asciiTheme="majorHAnsi" w:hAnsiTheme="majorHAnsi" w:cstheme="majorHAnsi"/>
          <w:b/>
          <w:bCs/>
          <w:lang w:val="pl-PL"/>
        </w:rPr>
        <w:t>Uczelnia Korczaka – Uczelnia Dostępna</w:t>
      </w:r>
      <w:r w:rsidRPr="002169E1">
        <w:rPr>
          <w:rFonts w:eastAsia="Times New Roman" w:asciiTheme="majorHAnsi" w:hAnsiTheme="majorHAnsi" w:cstheme="majorHAnsi"/>
          <w:lang w:val="pl-PL"/>
        </w:rPr>
        <w:t>”, mających na celu likwidację barier architektonicznych i dostosowanie przestrzeni do potrzeb osób z</w:t>
      </w:r>
      <w:r w:rsidRPr="002169E1" w:rsidR="37C69A2A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niepełnosprawnościami, zgodnie z Ustawą o zapewnianiu dostępności osobom ze szczególnymi potrzebami, Prawem budowlanym oraz</w:t>
      </w:r>
      <w:r w:rsidRPr="002169E1" w:rsidR="5179B02F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Wytycznymi równościowymi FERS.</w:t>
      </w:r>
    </w:p>
    <w:p w:rsidRPr="002169E1" w:rsidR="00812CC2" w:rsidP="7E3D1491" w:rsidRDefault="13F3B642" w14:paraId="1095DC53" w14:textId="7022EC81">
      <w:pPr>
        <w:pStyle w:val="Heading1"/>
        <w:rPr>
          <w:rFonts w:eastAsia="Times New Roman" w:cstheme="majorHAnsi"/>
          <w:sz w:val="22"/>
          <w:szCs w:val="22"/>
          <w:lang w:val="pl-PL"/>
        </w:rPr>
      </w:pPr>
      <w:r w:rsidRPr="002169E1">
        <w:rPr>
          <w:rFonts w:eastAsia="Times New Roman" w:cstheme="majorHAnsi"/>
          <w:sz w:val="22"/>
          <w:szCs w:val="22"/>
          <w:lang w:val="pl-PL"/>
        </w:rPr>
        <w:t>Część I</w:t>
      </w:r>
      <w:r w:rsidRPr="002169E1" w:rsidR="00C053C7">
        <w:rPr>
          <w:rFonts w:eastAsia="Times New Roman" w:cstheme="majorHAnsi"/>
          <w:sz w:val="22"/>
          <w:szCs w:val="22"/>
          <w:lang w:val="pl-PL"/>
        </w:rPr>
        <w:t xml:space="preserve"> Strefa wejściowa do budynku</w:t>
      </w:r>
    </w:p>
    <w:p w:rsidRPr="002169E1" w:rsidR="78800457" w:rsidP="0034701B" w:rsidRDefault="4808BB48" w14:paraId="56917B55" w14:textId="5E1F6EE6">
      <w:pPr>
        <w:pStyle w:val="ListParagraph"/>
        <w:numPr>
          <w:ilvl w:val="0"/>
          <w:numId w:val="29"/>
        </w:numPr>
        <w:spacing w:before="240" w:after="2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Obejmuje przebudowę strefy wejściowej do budynku, w tym modernizację pochylni i schodów wejściowych oraz wyznaczenie miejsca parkingowego dla osób z</w:t>
      </w:r>
      <w:r w:rsidRPr="002169E1" w:rsidR="00E2584E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niepełnosprawnościami, w celu zapewnienia pełnej dostępności architektonicznej zgodnie z obowiązującymi standardami.</w:t>
      </w:r>
      <w:r w:rsidRPr="002169E1" w:rsidR="004B43ED">
        <w:rPr>
          <w:rFonts w:eastAsia="Times New Roman" w:asciiTheme="majorHAnsi" w:hAnsiTheme="majorHAnsi" w:cstheme="majorHAnsi"/>
          <w:lang w:val="pl-PL"/>
        </w:rPr>
        <w:t xml:space="preserve"> Wytyczne zostały zawarte także w Załączniku 1. niniejszego dokumentu</w:t>
      </w:r>
      <w:r w:rsidRPr="002169E1" w:rsidR="003F4E2A">
        <w:rPr>
          <w:rFonts w:eastAsia="Times New Roman" w:asciiTheme="majorHAnsi" w:hAnsiTheme="majorHAnsi" w:cstheme="majorHAnsi"/>
          <w:lang w:val="pl-PL"/>
        </w:rPr>
        <w:t>.</w:t>
      </w:r>
    </w:p>
    <w:p w:rsidRPr="002169E1" w:rsidR="007065C0" w:rsidP="007065C0" w:rsidRDefault="2224D049" w14:paraId="6616F796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u w:val="single"/>
          <w:lang w:val="pl-PL"/>
        </w:rPr>
        <w:t>Aktualny stan: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</w:t>
      </w:r>
    </w:p>
    <w:p w:rsidRPr="002169E1" w:rsidR="2224D049" w:rsidP="007065C0" w:rsidRDefault="2224D049" w14:paraId="541EFCD3" w14:textId="4403EFE5">
      <w:pPr>
        <w:pStyle w:val="ListParagraph"/>
        <w:numPr>
          <w:ilvl w:val="0"/>
          <w:numId w:val="26"/>
        </w:num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Nachylenie pochylni jest zbyt duże – konieczna jest przebudowa pochylni w taki sposób, by nachylenie nie przekraczało 6% w przypadku pochylni o wysokości przekraczającej 0,50 m bez zadaszenia lub 8% w przypadku pochylni o wysokości przekraczającej 0,50 m z zadaszeniem.</w:t>
      </w:r>
    </w:p>
    <w:p w:rsidRPr="002169E1" w:rsidR="2224D049" w:rsidP="007065C0" w:rsidRDefault="2224D049" w14:paraId="0E65C020" w14:textId="1A7B7D1E">
      <w:pPr>
        <w:pStyle w:val="ListParagraph"/>
        <w:numPr>
          <w:ilvl w:val="0"/>
          <w:numId w:val="26"/>
        </w:num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Szerokość pochylni jest prawidłowa (nie mniejsza niż 1,20 m).</w:t>
      </w:r>
    </w:p>
    <w:p w:rsidRPr="002169E1" w:rsidR="2224D049" w:rsidP="007065C0" w:rsidRDefault="2224D049" w14:paraId="36D0F9A0" w14:textId="448CD855">
      <w:pPr>
        <w:pStyle w:val="ListParagraph"/>
        <w:numPr>
          <w:ilvl w:val="0"/>
          <w:numId w:val="26"/>
        </w:num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Długość pojedynczego biegu nie przekracza 9,00 m.</w:t>
      </w:r>
    </w:p>
    <w:p w:rsidRPr="002169E1" w:rsidR="2224D049" w:rsidP="007065C0" w:rsidRDefault="2224D049" w14:paraId="27021BE7" w14:textId="0D000FC7">
      <w:pPr>
        <w:pStyle w:val="ListParagraph"/>
        <w:numPr>
          <w:ilvl w:val="0"/>
          <w:numId w:val="26"/>
        </w:num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Pochylnia została wyposażona w obustronne elementy, zapobiegające zsunięciu się kół wózka.</w:t>
      </w:r>
    </w:p>
    <w:p w:rsidRPr="002169E1" w:rsidR="6012D01D" w:rsidP="007065C0" w:rsidRDefault="6012D01D" w14:paraId="5D5DC56C" w14:textId="5C66E65F">
      <w:pPr>
        <w:pStyle w:val="ListParagraph"/>
        <w:numPr>
          <w:ilvl w:val="0"/>
          <w:numId w:val="26"/>
        </w:numPr>
        <w:spacing w:before="240" w:after="2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Odstęp pomiędzy poręczami nie jest prawidłowy – nie spełnia wymagań prawa w tym zakresie (Rozporządzenie Ministra Infrastruktury z dnia 12 kwietnia 2002 r. w sprawie warunków technicznych, jakim powinny odpowiadać budynki i ich usytuowanie, § 71). Konieczna jest korekta wysokości ich montażu i zapewnienie pochwytów w odległości od 1,00 do 1,10 m.</w:t>
      </w:r>
    </w:p>
    <w:p w:rsidRPr="002169E1" w:rsidR="6012D01D" w:rsidP="007065C0" w:rsidRDefault="6012D01D" w14:paraId="4E3BC76E" w14:textId="79EF176E">
      <w:pPr>
        <w:pStyle w:val="ListParagraph"/>
        <w:numPr>
          <w:ilvl w:val="0"/>
          <w:numId w:val="26"/>
        </w:numPr>
        <w:spacing w:before="240" w:after="24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Wysokość montażu pochwytów nie jest prawidłowa – nie spełnia wymagań prawa w tym zakresie (Rozporządzenie Ministra Infrastruktury z dnia 12 kwietnia 2002 r. w sprawie warunków technicznych, jakim powinny odpowiadać budynki i ich usytuowanie, § 298).</w:t>
      </w:r>
    </w:p>
    <w:p w:rsidRPr="002169E1" w:rsidR="6012D01D" w:rsidP="007065C0" w:rsidRDefault="6012D01D" w14:paraId="519464B0" w14:textId="76B2CA5F">
      <w:pPr>
        <w:pStyle w:val="ListParagraph"/>
        <w:numPr>
          <w:ilvl w:val="0"/>
          <w:numId w:val="26"/>
        </w:numPr>
        <w:spacing w:before="240" w:after="24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Odległość pochwytów od ścian i innych elementów jest prawidłowa.</w:t>
      </w:r>
    </w:p>
    <w:p w:rsidRPr="002169E1" w:rsidR="6012D01D" w:rsidP="007065C0" w:rsidRDefault="6012D01D" w14:paraId="185516BE" w14:textId="6773849B">
      <w:pPr>
        <w:pStyle w:val="ListParagraph"/>
        <w:numPr>
          <w:ilvl w:val="0"/>
          <w:numId w:val="26"/>
        </w:numPr>
        <w:spacing w:before="240" w:after="24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Pochwyty nie zostały prawidłowo przedłużone. Przed początkiem i za końcem pochylni pochwyty należy przedłużyć o 0,30 m i zakończyć w sposób zapewniający bezpieczne użytkowanie.</w:t>
      </w:r>
    </w:p>
    <w:p w:rsidRPr="002169E1" w:rsidR="6012D01D" w:rsidP="007065C0" w:rsidRDefault="6012D01D" w14:paraId="7BD78DC7" w14:textId="01DDF64E">
      <w:pPr>
        <w:pStyle w:val="ListParagraph"/>
        <w:numPr>
          <w:ilvl w:val="0"/>
          <w:numId w:val="26"/>
        </w:numPr>
        <w:spacing w:before="240" w:after="2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Wykonawca przebuduje pochylnię zgodnie z wytycznymi w </w:t>
      </w:r>
      <w:r w:rsidRPr="002169E1">
        <w:rPr>
          <w:rFonts w:eastAsia="Times New Roman" w:asciiTheme="majorHAnsi" w:hAnsiTheme="majorHAnsi" w:cstheme="majorHAnsi"/>
          <w:b/>
          <w:bCs/>
          <w:lang w:val="pl-PL"/>
        </w:rPr>
        <w:t xml:space="preserve">Załączniku </w:t>
      </w:r>
      <w:r w:rsidRPr="002169E1" w:rsidR="1EDE2E2C">
        <w:rPr>
          <w:rFonts w:eastAsia="Times New Roman" w:asciiTheme="majorHAnsi" w:hAnsiTheme="majorHAnsi" w:cstheme="majorHAnsi"/>
          <w:b/>
          <w:bCs/>
          <w:lang w:val="pl-PL"/>
        </w:rPr>
        <w:t>1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i Standardami dostępności dla m. st. Warszawy (</w:t>
      </w:r>
      <w:hyperlink r:id="rId8">
        <w:r w:rsidRPr="002169E1">
          <w:rPr>
            <w:rStyle w:val="Hyperlink"/>
            <w:rFonts w:eastAsia="Times New Roman" w:asciiTheme="majorHAnsi" w:hAnsiTheme="majorHAnsi" w:cstheme="majorHAnsi"/>
            <w:lang w:val="pl-PL"/>
          </w:rPr>
          <w:t>link online</w:t>
        </w:r>
      </w:hyperlink>
      <w:r w:rsidRPr="002169E1">
        <w:rPr>
          <w:rFonts w:eastAsia="Times New Roman" w:asciiTheme="majorHAnsi" w:hAnsiTheme="majorHAnsi" w:cstheme="majorHAnsi"/>
          <w:lang w:val="pl-PL"/>
        </w:rPr>
        <w:t>).</w:t>
      </w:r>
    </w:p>
    <w:p w:rsidRPr="002169E1" w:rsidR="6012D01D" w:rsidP="007065C0" w:rsidRDefault="6012D01D" w14:paraId="4C599140" w14:textId="5D2A5B11">
      <w:pPr>
        <w:pStyle w:val="ListParagraph"/>
        <w:numPr>
          <w:ilvl w:val="0"/>
          <w:numId w:val="26"/>
        </w:numPr>
        <w:spacing w:before="240" w:after="24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Konieczne jest zakończenie pochwytów w sposób zapewniający bezpieczne użytkowanie: konieczne jest wywinięcie ich końców w dół lub połączenie ze sobą pochwytów znajdujących się na dwóch wysokościach.</w:t>
      </w:r>
    </w:p>
    <w:p w:rsidRPr="002169E1" w:rsidR="00A73A6F" w:rsidP="48AF048D" w:rsidRDefault="00A73A6F" w14:paraId="02EA9F55" w14:textId="2B3A7AB8" w14:noSpellErr="1">
      <w:pPr>
        <w:spacing w:after="0"/>
        <w:ind w:left="360"/>
        <w:rPr>
          <w:rFonts w:ascii="Calibri" w:hAnsi="Calibri" w:eastAsia="Times New Roman" w:cs="Calibri" w:asciiTheme="majorAscii" w:hAnsiTheme="majorAscii" w:cstheme="majorAscii"/>
          <w:b w:val="0"/>
          <w:bCs w:val="0"/>
          <w:lang w:val="pl-PL"/>
        </w:rPr>
      </w:pPr>
      <w:r w:rsidRPr="48AF048D" w:rsidR="4686BC5A">
        <w:rPr>
          <w:rFonts w:ascii="Calibri" w:hAnsi="Calibri" w:eastAsia="Times New Roman" w:cs="Calibri" w:asciiTheme="majorAscii" w:hAnsiTheme="majorAscii" w:cstheme="majorAscii"/>
          <w:b w:val="0"/>
          <w:bCs w:val="0"/>
          <w:lang w:val="pl-PL"/>
        </w:rPr>
        <w:t>1.1. Przebudowa pochylni.</w:t>
      </w:r>
    </w:p>
    <w:p w:rsidRPr="002169E1" w:rsidR="000D70DB" w:rsidP="7E3D1491" w:rsidRDefault="000D70DB" w14:paraId="05E7B6B5" w14:textId="77777777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1.1.1. Zmniejszenie nachylenia pochylni z 10% do maksymalnie 6% (pochylnia zewnętrzna).</w:t>
      </w:r>
    </w:p>
    <w:p w:rsidRPr="002169E1" w:rsidR="000D70DB" w:rsidP="7E3D1491" w:rsidRDefault="000D70DB" w14:paraId="406EE0F4" w14:textId="7D82B217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1.1.2. </w:t>
      </w:r>
      <w:r w:rsidRPr="002169E1" w:rsidR="00903D30">
        <w:rPr>
          <w:rFonts w:eastAsia="Times New Roman" w:asciiTheme="majorHAnsi" w:hAnsiTheme="majorHAnsi" w:cstheme="majorHAnsi"/>
          <w:lang w:val="pl-PL"/>
        </w:rPr>
        <w:t>O</w:t>
      </w:r>
      <w:r w:rsidRPr="002169E1" w:rsidR="009549BB">
        <w:rPr>
          <w:rFonts w:eastAsia="Times New Roman" w:asciiTheme="majorHAnsi" w:hAnsiTheme="majorHAnsi" w:cstheme="majorHAnsi"/>
          <w:lang w:val="pl-PL"/>
        </w:rPr>
        <w:t>graniczenie efektywnej szerokości użytkowej biegu</w:t>
      </w:r>
      <w:r w:rsidRPr="002169E1" w:rsidR="005C174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009549BB">
        <w:rPr>
          <w:rFonts w:eastAsia="Times New Roman" w:asciiTheme="majorHAnsi" w:hAnsiTheme="majorHAnsi" w:cstheme="majorHAnsi"/>
          <w:lang w:val="pl-PL"/>
        </w:rPr>
        <w:t>schodowego</w:t>
      </w:r>
      <w:r w:rsidRPr="002169E1" w:rsidR="005C174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009549BB">
        <w:rPr>
          <w:rFonts w:eastAsia="Times New Roman" w:asciiTheme="majorHAnsi" w:hAnsiTheme="majorHAnsi" w:cstheme="majorHAnsi"/>
          <w:lang w:val="pl-PL"/>
        </w:rPr>
        <w:t>poprzez</w:t>
      </w:r>
      <w:r w:rsidRPr="002169E1" w:rsidR="005C174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009549BB">
        <w:rPr>
          <w:rFonts w:eastAsia="Times New Roman" w:asciiTheme="majorHAnsi" w:hAnsiTheme="majorHAnsi" w:cstheme="majorHAnsi"/>
          <w:lang w:val="pl-PL"/>
        </w:rPr>
        <w:t>zmianę</w:t>
      </w:r>
      <w:r w:rsidRPr="002169E1" w:rsidR="005C174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009549BB">
        <w:rPr>
          <w:rFonts w:eastAsia="Times New Roman" w:asciiTheme="majorHAnsi" w:hAnsiTheme="majorHAnsi" w:cstheme="majorHAnsi"/>
          <w:lang w:val="pl-PL"/>
        </w:rPr>
        <w:t>szerokości balustrad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z 1,64 m do 1,20 m.</w:t>
      </w:r>
    </w:p>
    <w:p w:rsidRPr="002169E1" w:rsidR="000D70DB" w:rsidP="7E3D1491" w:rsidRDefault="000D70DB" w14:paraId="6CE89633" w14:textId="77777777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1.1.3. Zmniejszenie odstępu między poręczami z 1,13 m do 1,00–1,10 m.</w:t>
      </w:r>
    </w:p>
    <w:p w:rsidRPr="002169E1" w:rsidR="000D70DB" w:rsidP="7E3D1491" w:rsidRDefault="000D70DB" w14:paraId="1D2468F9" w14:textId="77777777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1.1.4. Wymiana pochwytów: przedłużenie o min. 30 cm poza początek i koniec biegu, montaż na wysokościach 0,75 m (dolny) i 0,90 m (górny).</w:t>
      </w:r>
    </w:p>
    <w:p w:rsidRPr="002169E1" w:rsidR="00EA062C" w:rsidP="005C1741" w:rsidRDefault="000D70DB" w14:paraId="3A0A38B8" w14:textId="560E4AAB">
      <w:pPr>
        <w:spacing w:after="0"/>
        <w:ind w:left="567"/>
        <w:rPr>
          <w:rFonts w:eastAsia="Times New Roman" w:asciiTheme="majorHAnsi" w:hAnsiTheme="majorHAnsi" w:cstheme="majorHAnsi"/>
          <w:strike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1.1.5.</w:t>
      </w:r>
      <w:r w:rsidRPr="002169E1" w:rsidR="006E46C1">
        <w:rPr>
          <w:rFonts w:eastAsia="Times New Roman" w:asciiTheme="majorHAnsi" w:hAnsiTheme="majorHAnsi" w:cstheme="majorHAnsi"/>
          <w:lang w:val="pl-PL"/>
        </w:rPr>
        <w:t xml:space="preserve"> Przymocowanie do posadzki wycieraczki dywanowej za drzwiami wejściowymi</w:t>
      </w:r>
      <w:r w:rsidRPr="002169E1" w:rsidR="006E46C1">
        <w:rPr>
          <w:rFonts w:eastAsia="Times New Roman" w:asciiTheme="majorHAnsi" w:hAnsiTheme="majorHAnsi" w:cstheme="majorHAnsi"/>
          <w:strike/>
          <w:lang w:val="pl-PL"/>
        </w:rPr>
        <w:t>.</w:t>
      </w:r>
    </w:p>
    <w:p w:rsidRPr="002169E1" w:rsidR="005C1741" w:rsidP="005C1741" w:rsidRDefault="005C1741" w14:paraId="00A5AD6F" w14:textId="77777777">
      <w:pPr>
        <w:spacing w:after="0"/>
        <w:ind w:left="567"/>
        <w:rPr>
          <w:rFonts w:eastAsia="Times New Roman" w:asciiTheme="majorHAnsi" w:hAnsiTheme="majorHAnsi" w:cstheme="majorHAnsi"/>
          <w:strike/>
          <w:lang w:val="pl-PL"/>
        </w:rPr>
      </w:pPr>
    </w:p>
    <w:p w:rsidRPr="002169E1" w:rsidR="000D70DB" w:rsidP="7E3D1491" w:rsidRDefault="00C053C7" w14:paraId="05A44DBD" w14:textId="5D57014B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1.2</w:t>
      </w:r>
      <w:r w:rsidRPr="002169E1" w:rsidR="09021261">
        <w:rPr>
          <w:rFonts w:eastAsia="Times New Roman" w:asciiTheme="majorHAnsi" w:hAnsiTheme="majorHAnsi" w:cstheme="majorHAnsi"/>
          <w:lang w:val="pl-PL"/>
        </w:rPr>
        <w:t>.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Przebudowa schodów wejściowych:</w:t>
      </w:r>
    </w:p>
    <w:p w:rsidRPr="002169E1" w:rsidR="000D70DB" w:rsidP="7E3D1491" w:rsidRDefault="000D70DB" w14:paraId="761B5DEB" w14:textId="2ECC52DE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1.2.1. Montaż pochwytów po obu stronach biegu</w:t>
      </w:r>
      <w:r w:rsidRPr="002169E1" w:rsidR="789EED3F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000D70DB" w:rsidP="7E3D1491" w:rsidRDefault="000D70DB" w14:paraId="262EB2A0" w14:textId="111A6658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1.2.2. Zmniejszenie szerokości schodów do 4,00 m</w:t>
      </w:r>
      <w:r w:rsidRPr="002169E1" w:rsidR="709E5AF2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000D70DB" w:rsidP="7E3D1491" w:rsidRDefault="000D70DB" w14:paraId="545344C2" w14:textId="3FD31683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1.2.3. Oznaczenie krawędzi kontrastowymi pasami (kontrast LRV ≥ 60)</w:t>
      </w:r>
      <w:r w:rsidRPr="002169E1" w:rsidR="209CF1AA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000D70DB" w:rsidP="7E3D1491" w:rsidRDefault="000D70DB" w14:paraId="68BDFB34" w14:textId="0C486DEC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1.2.4. Oznaczenie drzwi wejściowych trzema pasami w kolorze kontrastującym z tłem</w:t>
      </w:r>
      <w:r w:rsidRPr="002169E1" w:rsidR="0C945B0E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00FC6988" w:rsidP="7E3D1491" w:rsidRDefault="00FC6988" w14:paraId="48BDBB35" w14:textId="77777777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</w:p>
    <w:p w:rsidRPr="002169E1" w:rsidR="1D4B504B" w:rsidP="7E3D1491" w:rsidRDefault="1D4B504B" w14:paraId="198A96DA" w14:textId="50EB14A0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1.3. </w:t>
      </w:r>
      <w:r w:rsidRPr="002169E1" w:rsidR="1D059729">
        <w:rPr>
          <w:rFonts w:eastAsia="Times New Roman" w:asciiTheme="majorHAnsi" w:hAnsiTheme="majorHAnsi" w:cstheme="majorHAnsi"/>
          <w:lang w:val="pl-PL"/>
        </w:rPr>
        <w:t>Oznaczenie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miejsca parkingowego dla osób z niepe</w:t>
      </w:r>
      <w:r w:rsidRPr="002169E1" w:rsidR="4B0148CA">
        <w:rPr>
          <w:rFonts w:eastAsia="Times New Roman" w:asciiTheme="majorHAnsi" w:hAnsiTheme="majorHAnsi" w:cstheme="majorHAnsi"/>
          <w:lang w:val="pl-PL"/>
        </w:rPr>
        <w:t>ł</w:t>
      </w:r>
      <w:r w:rsidRPr="002169E1">
        <w:rPr>
          <w:rFonts w:eastAsia="Times New Roman" w:asciiTheme="majorHAnsi" w:hAnsiTheme="majorHAnsi" w:cstheme="majorHAnsi"/>
          <w:lang w:val="pl-PL"/>
        </w:rPr>
        <w:t>nosprawno</w:t>
      </w:r>
      <w:r w:rsidRPr="002169E1" w:rsidR="4E4CF651">
        <w:rPr>
          <w:rFonts w:eastAsia="Times New Roman" w:asciiTheme="majorHAnsi" w:hAnsiTheme="majorHAnsi" w:cstheme="majorHAnsi"/>
          <w:lang w:val="pl-PL"/>
        </w:rPr>
        <w:t>ściam</w:t>
      </w:r>
      <w:r w:rsidRPr="002169E1">
        <w:rPr>
          <w:rFonts w:eastAsia="Times New Roman" w:asciiTheme="majorHAnsi" w:hAnsiTheme="majorHAnsi" w:cstheme="majorHAnsi"/>
          <w:lang w:val="pl-PL"/>
        </w:rPr>
        <w:t>i (</w:t>
      </w:r>
      <w:proofErr w:type="spellStart"/>
      <w:r w:rsidRPr="002169E1">
        <w:rPr>
          <w:rFonts w:eastAsia="Times New Roman" w:asciiTheme="majorHAnsi" w:hAnsiTheme="majorHAnsi" w:cstheme="majorHAnsi"/>
          <w:lang w:val="pl-PL"/>
        </w:rPr>
        <w:t>OzN</w:t>
      </w:r>
      <w:proofErr w:type="spellEnd"/>
      <w:r w:rsidRPr="002169E1">
        <w:rPr>
          <w:rFonts w:eastAsia="Times New Roman" w:asciiTheme="majorHAnsi" w:hAnsiTheme="majorHAnsi" w:cstheme="majorHAnsi"/>
          <w:lang w:val="pl-PL"/>
        </w:rPr>
        <w:t>)</w:t>
      </w:r>
      <w:r w:rsidRPr="002169E1" w:rsidR="7ED4B138">
        <w:rPr>
          <w:rFonts w:eastAsia="Times New Roman" w:asciiTheme="majorHAnsi" w:hAnsiTheme="majorHAnsi" w:cstheme="majorHAnsi"/>
          <w:lang w:val="pl-PL"/>
        </w:rPr>
        <w:t>:</w:t>
      </w:r>
    </w:p>
    <w:p w:rsidRPr="002169E1" w:rsidR="7ED4B138" w:rsidP="78800457" w:rsidRDefault="7ED4B138" w14:paraId="30AF8694" w14:textId="087DD338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1.3.1. </w:t>
      </w:r>
      <w:r w:rsidRPr="002169E1" w:rsidR="6965D98C">
        <w:rPr>
          <w:rFonts w:eastAsia="Times New Roman" w:asciiTheme="majorHAnsi" w:hAnsiTheme="majorHAnsi" w:cstheme="majorHAnsi"/>
          <w:lang w:val="pl-PL"/>
        </w:rPr>
        <w:t>Oznaczenie</w:t>
      </w:r>
      <w:r w:rsidRPr="002169E1" w:rsidR="6965D98C">
        <w:rPr>
          <w:rFonts w:eastAsia="Times New Roman" w:asciiTheme="majorHAnsi" w:hAnsiTheme="majorHAnsi" w:cstheme="majorHAnsi"/>
          <w:strike/>
          <w:lang w:val="pl-PL"/>
        </w:rPr>
        <w:t xml:space="preserve"> </w:t>
      </w:r>
      <w:r w:rsidRPr="002169E1" w:rsidR="1D4B504B">
        <w:rPr>
          <w:rFonts w:eastAsia="Times New Roman" w:asciiTheme="majorHAnsi" w:hAnsiTheme="majorHAnsi" w:cstheme="majorHAnsi"/>
          <w:lang w:val="pl-PL"/>
        </w:rPr>
        <w:t xml:space="preserve">1 miejsca parkingowego dla </w:t>
      </w:r>
      <w:proofErr w:type="spellStart"/>
      <w:r w:rsidRPr="002169E1" w:rsidR="1D4B504B">
        <w:rPr>
          <w:rFonts w:eastAsia="Times New Roman" w:asciiTheme="majorHAnsi" w:hAnsiTheme="majorHAnsi" w:cstheme="majorHAnsi"/>
          <w:lang w:val="pl-PL"/>
        </w:rPr>
        <w:t>OzN</w:t>
      </w:r>
      <w:proofErr w:type="spellEnd"/>
      <w:r w:rsidRPr="002169E1" w:rsidR="1D4B504B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6DD639DA">
        <w:rPr>
          <w:rFonts w:eastAsia="Times New Roman" w:asciiTheme="majorHAnsi" w:hAnsiTheme="majorHAnsi" w:cstheme="majorHAnsi"/>
          <w:lang w:val="pl-PL"/>
        </w:rPr>
        <w:t>w garażu podziemnym budynku;</w:t>
      </w:r>
    </w:p>
    <w:p w:rsidRPr="002169E1" w:rsidR="157A3EF3" w:rsidP="7E3D1491" w:rsidRDefault="157A3EF3" w14:paraId="5B847DE9" w14:textId="49EA1FA2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1.3.2. </w:t>
      </w:r>
      <w:r w:rsidRPr="002169E1" w:rsidR="00E956D1">
        <w:rPr>
          <w:rFonts w:eastAsia="Times New Roman" w:asciiTheme="majorHAnsi" w:hAnsiTheme="majorHAnsi" w:cstheme="majorHAnsi"/>
          <w:lang w:val="pl-PL"/>
        </w:rPr>
        <w:t>W</w:t>
      </w:r>
      <w:r w:rsidRPr="002169E1" w:rsidR="1D4B504B">
        <w:rPr>
          <w:rFonts w:eastAsia="Times New Roman" w:asciiTheme="majorHAnsi" w:hAnsiTheme="majorHAnsi" w:cstheme="majorHAnsi"/>
          <w:lang w:val="pl-PL"/>
        </w:rPr>
        <w:t>ymiary</w:t>
      </w:r>
      <w:r w:rsidRPr="002169E1" w:rsidR="00E956D1">
        <w:rPr>
          <w:rFonts w:eastAsia="Times New Roman" w:asciiTheme="majorHAnsi" w:hAnsiTheme="majorHAnsi" w:cstheme="majorHAnsi"/>
          <w:lang w:val="pl-PL"/>
        </w:rPr>
        <w:t xml:space="preserve"> miejsca muszą być</w:t>
      </w:r>
      <w:r w:rsidRPr="002169E1" w:rsidR="1D4B504B">
        <w:rPr>
          <w:rFonts w:eastAsia="Times New Roman" w:asciiTheme="majorHAnsi" w:hAnsiTheme="majorHAnsi" w:cstheme="majorHAnsi"/>
          <w:lang w:val="pl-PL"/>
        </w:rPr>
        <w:t xml:space="preserve"> zgodne z przepisami techniczno-budowlanymi</w:t>
      </w:r>
      <w:r w:rsidRPr="002169E1" w:rsidR="2599D043">
        <w:rPr>
          <w:rFonts w:eastAsia="Times New Roman" w:asciiTheme="majorHAnsi" w:hAnsiTheme="majorHAnsi" w:cstheme="majorHAnsi"/>
          <w:lang w:val="pl-PL"/>
        </w:rPr>
        <w:t xml:space="preserve">, tj. </w:t>
      </w:r>
      <w:r w:rsidRPr="002169E1" w:rsidR="1D4B504B">
        <w:rPr>
          <w:rFonts w:eastAsia="Times New Roman" w:asciiTheme="majorHAnsi" w:hAnsiTheme="majorHAnsi" w:cstheme="majorHAnsi"/>
          <w:lang w:val="pl-PL"/>
        </w:rPr>
        <w:t xml:space="preserve"> min. 3,6 m szeroko</w:t>
      </w:r>
      <w:r w:rsidRPr="002169E1" w:rsidR="24251172">
        <w:rPr>
          <w:rFonts w:eastAsia="Times New Roman" w:asciiTheme="majorHAnsi" w:hAnsiTheme="majorHAnsi" w:cstheme="majorHAnsi"/>
          <w:lang w:val="pl-PL"/>
        </w:rPr>
        <w:t>ś</w:t>
      </w:r>
      <w:r w:rsidRPr="002169E1" w:rsidR="1D4B504B">
        <w:rPr>
          <w:rFonts w:eastAsia="Times New Roman" w:asciiTheme="majorHAnsi" w:hAnsiTheme="majorHAnsi" w:cstheme="majorHAnsi"/>
          <w:lang w:val="pl-PL"/>
        </w:rPr>
        <w:t>ci i 5,0 m</w:t>
      </w:r>
      <w:r w:rsidRPr="002169E1" w:rsidR="1200C436">
        <w:rPr>
          <w:rFonts w:eastAsia="Times New Roman" w:asciiTheme="majorHAnsi" w:hAnsiTheme="majorHAnsi" w:cstheme="majorHAnsi"/>
          <w:lang w:val="pl-PL"/>
        </w:rPr>
        <w:t xml:space="preserve"> długości.</w:t>
      </w:r>
    </w:p>
    <w:p w:rsidRPr="002169E1" w:rsidR="73689AA3" w:rsidP="7E3D1491" w:rsidRDefault="73689AA3" w14:paraId="26473103" w14:textId="688FBAAB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1.3.</w:t>
      </w:r>
      <w:r w:rsidRPr="002169E1" w:rsidR="00D16B29">
        <w:rPr>
          <w:rFonts w:eastAsia="Times New Roman" w:asciiTheme="majorHAnsi" w:hAnsiTheme="majorHAnsi" w:cstheme="majorHAnsi"/>
          <w:lang w:val="pl-PL"/>
        </w:rPr>
        <w:t>3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 </w:t>
      </w:r>
      <w:r w:rsidRPr="002169E1" w:rsidR="1D4B504B">
        <w:rPr>
          <w:rFonts w:eastAsia="Times New Roman" w:asciiTheme="majorHAnsi" w:hAnsiTheme="majorHAnsi" w:cstheme="majorHAnsi"/>
          <w:lang w:val="pl-PL"/>
        </w:rPr>
        <w:t>Oznakowanie poziome: symbol wózka inwalidzkiego w kolorze bia</w:t>
      </w:r>
      <w:r w:rsidRPr="002169E1" w:rsidR="69B0DCD1">
        <w:rPr>
          <w:rFonts w:eastAsia="Times New Roman" w:asciiTheme="majorHAnsi" w:hAnsiTheme="majorHAnsi" w:cstheme="majorHAnsi"/>
          <w:lang w:val="pl-PL"/>
        </w:rPr>
        <w:t>ł</w:t>
      </w:r>
      <w:r w:rsidRPr="002169E1" w:rsidR="1D4B504B">
        <w:rPr>
          <w:rFonts w:eastAsia="Times New Roman" w:asciiTheme="majorHAnsi" w:hAnsiTheme="majorHAnsi" w:cstheme="majorHAnsi"/>
          <w:lang w:val="pl-PL"/>
        </w:rPr>
        <w:t>ym na niebieskim tle</w:t>
      </w:r>
      <w:r w:rsidRPr="002169E1" w:rsidR="3971339F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3971339F" w:rsidP="7E3D1491" w:rsidRDefault="3971339F" w14:paraId="619543E6" w14:textId="2D07031B">
      <w:pPr>
        <w:spacing w:after="0"/>
        <w:ind w:left="567"/>
        <w:rPr>
          <w:rFonts w:eastAsia="Times New Roman" w:asciiTheme="majorHAnsi" w:hAnsiTheme="majorHAnsi" w:cstheme="majorHAnsi"/>
          <w:lang w:val="pl-PL"/>
        </w:rPr>
      </w:pPr>
      <w:r w:rsidRPr="48AF048D" w:rsidR="19E28C3D">
        <w:rPr>
          <w:rFonts w:ascii="Calibri" w:hAnsi="Calibri" w:eastAsia="Times New Roman" w:cs="Calibri" w:asciiTheme="majorAscii" w:hAnsiTheme="majorAscii" w:cstheme="majorAscii"/>
          <w:lang w:val="pl-PL"/>
        </w:rPr>
        <w:t>1.3.</w:t>
      </w:r>
      <w:r w:rsidRPr="48AF048D" w:rsidR="3FA57C39">
        <w:rPr>
          <w:rFonts w:ascii="Calibri" w:hAnsi="Calibri" w:eastAsia="Times New Roman" w:cs="Calibri" w:asciiTheme="majorAscii" w:hAnsiTheme="majorAscii" w:cstheme="majorAscii"/>
          <w:lang w:val="pl-PL"/>
        </w:rPr>
        <w:t>4</w:t>
      </w:r>
      <w:r w:rsidRPr="48AF048D" w:rsidR="19E28C3D">
        <w:rPr>
          <w:rFonts w:ascii="Calibri" w:hAnsi="Calibri" w:eastAsia="Times New Roman" w:cs="Calibri" w:asciiTheme="majorAscii" w:hAnsiTheme="majorAscii" w:cstheme="majorAscii"/>
          <w:lang w:val="pl-PL"/>
        </w:rPr>
        <w:t xml:space="preserve">. </w:t>
      </w:r>
      <w:r w:rsidRPr="48AF048D" w:rsidR="7A419A94">
        <w:rPr>
          <w:rFonts w:ascii="Calibri" w:hAnsi="Calibri" w:eastAsia="Times New Roman" w:cs="Calibri" w:asciiTheme="majorAscii" w:hAnsiTheme="majorAscii" w:cstheme="majorAscii"/>
          <w:lang w:val="pl-PL"/>
        </w:rPr>
        <w:t>Oznakowanie pionowe: znak D-18a z tablicz</w:t>
      </w:r>
      <w:r w:rsidRPr="48AF048D" w:rsidR="56D73D66">
        <w:rPr>
          <w:rFonts w:ascii="Calibri" w:hAnsi="Calibri" w:eastAsia="Times New Roman" w:cs="Calibri" w:asciiTheme="majorAscii" w:hAnsiTheme="majorAscii" w:cstheme="majorAscii"/>
          <w:lang w:val="pl-PL"/>
        </w:rPr>
        <w:t>kę</w:t>
      </w:r>
      <w:r w:rsidRPr="48AF048D" w:rsidR="7A419A94">
        <w:rPr>
          <w:rFonts w:ascii="Calibri" w:hAnsi="Calibri" w:eastAsia="Times New Roman" w:cs="Calibri" w:asciiTheme="majorAscii" w:hAnsiTheme="majorAscii" w:cstheme="majorAscii"/>
          <w:lang w:val="pl-PL"/>
        </w:rPr>
        <w:t xml:space="preserve"> T-29</w:t>
      </w:r>
      <w:r w:rsidRPr="48AF048D" w:rsidR="51E08CF7">
        <w:rPr>
          <w:rFonts w:ascii="Calibri" w:hAnsi="Calibri" w:eastAsia="Times New Roman" w:cs="Calibri" w:asciiTheme="majorAscii" w:hAnsiTheme="majorAscii" w:cstheme="majorAscii"/>
          <w:lang w:val="pl-PL"/>
        </w:rPr>
        <w:t>;</w:t>
      </w:r>
    </w:p>
    <w:p w:rsidR="624036B1" w:rsidP="48AF048D" w:rsidRDefault="624036B1" w14:paraId="1510E187" w14:textId="06BD03E0">
      <w:pPr>
        <w:pStyle w:val="Normal"/>
        <w:spacing w:after="0"/>
        <w:ind w:left="0"/>
        <w:rPr>
          <w:rFonts w:ascii="Calibri" w:hAnsi="Calibri" w:eastAsia="Times New Roman" w:cs="Calibri" w:asciiTheme="majorAscii" w:hAnsiTheme="majorAscii" w:cstheme="majorAscii"/>
          <w:lang w:val="pl-PL"/>
        </w:rPr>
      </w:pPr>
      <w:r w:rsidRPr="48AF048D" w:rsidR="624036B1">
        <w:rPr>
          <w:rFonts w:ascii="Calibri" w:hAnsi="Calibri" w:eastAsia="Times New Roman" w:cs="Calibri" w:asciiTheme="majorAscii" w:hAnsiTheme="majorAscii" w:cstheme="majorAscii"/>
          <w:lang w:val="pl-PL"/>
        </w:rPr>
        <w:t>1.4.</w:t>
      </w:r>
      <w:r w:rsidRPr="48AF048D" w:rsidR="1FA1FD81">
        <w:rPr>
          <w:rFonts w:ascii="Calibri" w:hAnsi="Calibri" w:eastAsia="Times New Roman" w:cs="Calibri" w:asciiTheme="majorAscii" w:hAnsiTheme="majorAscii" w:eastAsiaTheme="minorEastAsia" w:cstheme="majorAscii"/>
          <w:noProof w:val="0"/>
          <w:color w:val="auto"/>
          <w:sz w:val="22"/>
          <w:szCs w:val="22"/>
          <w:lang w:val="pl-PL" w:eastAsia="en-US" w:bidi="ar-SA"/>
        </w:rPr>
        <w:t xml:space="preserve"> Korekta wysokości montażu domofonu / dzwonka / przycisku przywoływania</w:t>
      </w:r>
    </w:p>
    <w:p w:rsidR="1FA1FD81" w:rsidP="48AF048D" w:rsidRDefault="1FA1FD81" w14:paraId="64531A11" w14:textId="2ED866FB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 w:firstLine="0"/>
        <w:jc w:val="left"/>
        <w:rPr>
          <w:rFonts w:ascii="Calibri" w:hAnsi="Calibri" w:eastAsia="Times New Roman" w:cs="Calibri" w:asciiTheme="majorAscii" w:hAnsiTheme="majorAscii" w:cstheme="majorAscii"/>
          <w:noProof w:val="0"/>
          <w:lang w:val="pl-PL"/>
        </w:rPr>
      </w:pPr>
      <w:r w:rsidRPr="48AF048D" w:rsidR="1FA1FD81">
        <w:rPr>
          <w:rFonts w:ascii="Calibri" w:hAnsi="Calibri" w:eastAsia="Times New Roman" w:cs="Calibri" w:asciiTheme="majorAscii" w:hAnsiTheme="majorAscii" w:eastAsiaTheme="minorEastAsia" w:cstheme="majorAscii"/>
          <w:noProof w:val="0"/>
          <w:color w:val="auto"/>
          <w:sz w:val="22"/>
          <w:szCs w:val="22"/>
          <w:lang w:val="pl-PL" w:eastAsia="en-US" w:bidi="ar-SA"/>
        </w:rPr>
        <w:t>1.4.1. demontaż i ponowny montaż na wysokości 0,80–1,10 m (obecnie: h=1,31 m; wizjer kamery h=1,45 m)</w:t>
      </w:r>
    </w:p>
    <w:p w:rsidRPr="002169E1" w:rsidR="7E3D1491" w:rsidP="78800457" w:rsidRDefault="70492DD5" w14:paraId="601EBAC5" w14:textId="46CAAD8C">
      <w:pPr>
        <w:pStyle w:val="Heading2"/>
        <w:rPr>
          <w:rFonts w:eastAsia="Times New Roman" w:cstheme="majorHAnsi"/>
          <w:sz w:val="22"/>
          <w:szCs w:val="22"/>
          <w:lang w:val="pl-PL"/>
        </w:rPr>
      </w:pPr>
      <w:r w:rsidRPr="002169E1">
        <w:rPr>
          <w:rFonts w:eastAsia="Times New Roman" w:cstheme="majorHAnsi"/>
          <w:sz w:val="22"/>
          <w:szCs w:val="22"/>
          <w:lang w:val="pl-PL"/>
        </w:rPr>
        <w:t>Część II</w:t>
      </w:r>
      <w:r w:rsidRPr="002169E1" w:rsidR="224DEF1B">
        <w:rPr>
          <w:rFonts w:eastAsia="Times New Roman" w:cstheme="majorHAnsi"/>
          <w:sz w:val="22"/>
          <w:szCs w:val="22"/>
          <w:lang w:val="pl-PL"/>
        </w:rPr>
        <w:t xml:space="preserve"> Pomieszczeni</w:t>
      </w:r>
      <w:r w:rsidRPr="002169E1" w:rsidR="00690C4F">
        <w:rPr>
          <w:rFonts w:eastAsia="Times New Roman" w:cstheme="majorHAnsi"/>
          <w:sz w:val="22"/>
          <w:szCs w:val="22"/>
          <w:lang w:val="pl-PL"/>
        </w:rPr>
        <w:t>e</w:t>
      </w:r>
      <w:r w:rsidRPr="002169E1" w:rsidR="224DEF1B">
        <w:rPr>
          <w:rFonts w:eastAsia="Times New Roman" w:cstheme="majorHAnsi"/>
          <w:sz w:val="22"/>
          <w:szCs w:val="22"/>
          <w:lang w:val="pl-PL"/>
        </w:rPr>
        <w:t xml:space="preserve"> dla zespołu ds. dostępności – pokój na I</w:t>
      </w:r>
      <w:r w:rsidRPr="002169E1" w:rsidR="7937E56F">
        <w:rPr>
          <w:rFonts w:eastAsia="Times New Roman" w:cstheme="majorHAnsi"/>
          <w:sz w:val="22"/>
          <w:szCs w:val="22"/>
          <w:lang w:val="pl-PL"/>
        </w:rPr>
        <w:t>I</w:t>
      </w:r>
      <w:r w:rsidRPr="002169E1" w:rsidR="224DEF1B">
        <w:rPr>
          <w:rFonts w:eastAsia="Times New Roman" w:cstheme="majorHAnsi"/>
          <w:sz w:val="22"/>
          <w:szCs w:val="22"/>
          <w:lang w:val="pl-PL"/>
        </w:rPr>
        <w:t xml:space="preserve"> piętrze</w:t>
      </w:r>
    </w:p>
    <w:p w:rsidRPr="002169E1" w:rsidR="00440A77" w:rsidP="00440A77" w:rsidRDefault="34219673" w14:paraId="4B5A9209" w14:textId="2349B052">
      <w:pPr>
        <w:pStyle w:val="ListParagraph"/>
        <w:numPr>
          <w:ilvl w:val="0"/>
          <w:numId w:val="29"/>
        </w:numPr>
        <w:spacing w:before="240" w:after="2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Zakres prac obejmuje dostosowanie pomieszczenia na </w:t>
      </w:r>
      <w:r w:rsidRPr="002169E1" w:rsidR="00932941">
        <w:rPr>
          <w:rFonts w:eastAsia="Times New Roman" w:asciiTheme="majorHAnsi" w:hAnsiTheme="majorHAnsi" w:cstheme="majorHAnsi"/>
          <w:lang w:val="pl-PL"/>
        </w:rPr>
        <w:t>I</w:t>
      </w:r>
      <w:r w:rsidRPr="002169E1">
        <w:rPr>
          <w:rFonts w:eastAsia="Times New Roman" w:asciiTheme="majorHAnsi" w:hAnsiTheme="majorHAnsi" w:cstheme="majorHAnsi"/>
          <w:lang w:val="pl-PL"/>
        </w:rPr>
        <w:t>I piętrze przeznaczonego dla zespołu ds. dostępności, modernizację osprzętu elektrycznego, malowanie wnętrza</w:t>
      </w:r>
      <w:r w:rsidRPr="002169E1" w:rsidR="009C3454">
        <w:rPr>
          <w:rFonts w:eastAsia="Times New Roman" w:asciiTheme="majorHAnsi" w:hAnsiTheme="majorHAnsi" w:cstheme="majorHAnsi"/>
          <w:lang w:val="pl-PL"/>
        </w:rPr>
        <w:t>,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a także wykonanie oznaczeń wizualnych ułatwiających orientację osobom z niepełnosprawnościami.</w:t>
      </w:r>
      <w:r w:rsidRPr="002169E1" w:rsidR="004B43ED">
        <w:rPr>
          <w:rFonts w:eastAsia="Times New Roman" w:asciiTheme="majorHAnsi" w:hAnsiTheme="majorHAnsi" w:cstheme="majorHAnsi"/>
          <w:lang w:val="pl-PL"/>
        </w:rPr>
        <w:t xml:space="preserve"> Wytyczne zostały zawarte także w Załączniku 1. niniejszego dokumentu</w:t>
      </w:r>
      <w:r w:rsidRPr="002169E1" w:rsidR="00440A77">
        <w:rPr>
          <w:rFonts w:eastAsia="Times New Roman" w:asciiTheme="majorHAnsi" w:hAnsiTheme="majorHAnsi" w:cstheme="majorHAnsi"/>
          <w:lang w:val="pl-PL"/>
        </w:rPr>
        <w:t>.</w:t>
      </w:r>
    </w:p>
    <w:p w:rsidRPr="002169E1" w:rsidR="000D70DB" w:rsidP="78800457" w:rsidRDefault="0D67B255" w14:paraId="119A8018" w14:textId="779990E5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2.1. </w:t>
      </w:r>
      <w:r w:rsidRPr="002169E1" w:rsidR="2DDCE46F">
        <w:rPr>
          <w:rFonts w:eastAsia="Times New Roman" w:asciiTheme="majorHAnsi" w:hAnsiTheme="majorHAnsi" w:cstheme="majorHAnsi"/>
          <w:lang w:val="pl-PL"/>
        </w:rPr>
        <w:t>Oznaczenie</w:t>
      </w:r>
      <w:r w:rsidRPr="002169E1" w:rsidR="0BDD066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1EB57F12">
        <w:rPr>
          <w:rFonts w:eastAsia="Times New Roman" w:asciiTheme="majorHAnsi" w:hAnsiTheme="majorHAnsi" w:cstheme="majorHAnsi"/>
          <w:lang w:val="pl-PL"/>
        </w:rPr>
        <w:t>d</w:t>
      </w:r>
      <w:r w:rsidRPr="002169E1">
        <w:rPr>
          <w:rFonts w:eastAsia="Times New Roman" w:asciiTheme="majorHAnsi" w:hAnsiTheme="majorHAnsi" w:cstheme="majorHAnsi"/>
          <w:lang w:val="pl-PL"/>
        </w:rPr>
        <w:t>rzwi</w:t>
      </w:r>
      <w:r w:rsidRPr="002169E1" w:rsidR="0473AAD2">
        <w:rPr>
          <w:rFonts w:eastAsia="Times New Roman" w:asciiTheme="majorHAnsi" w:hAnsiTheme="majorHAnsi" w:cstheme="majorHAnsi"/>
          <w:lang w:val="pl-PL"/>
        </w:rPr>
        <w:t xml:space="preserve"> wejściowych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kontrastowo względem ściany, zgodnie z zasadami</w:t>
      </w:r>
      <w:r w:rsidRPr="002169E1" w:rsidR="61913375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dostępności wizualnej.</w:t>
      </w:r>
    </w:p>
    <w:p w:rsidRPr="002169E1" w:rsidR="000D70DB" w:rsidP="7E3D1491" w:rsidRDefault="2C4D0A57" w14:paraId="334517C7" w14:textId="088C31FE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5C798B1D">
        <w:rPr>
          <w:rFonts w:eastAsia="Times New Roman" w:asciiTheme="majorHAnsi" w:hAnsiTheme="majorHAnsi" w:cstheme="majorHAnsi"/>
          <w:lang w:val="pl-PL"/>
        </w:rPr>
        <w:t>2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 </w:t>
      </w:r>
      <w:r w:rsidRPr="002169E1" w:rsidR="6B3D787C">
        <w:rPr>
          <w:rFonts w:eastAsia="Times New Roman" w:asciiTheme="majorHAnsi" w:hAnsiTheme="majorHAnsi" w:cstheme="majorHAnsi"/>
          <w:lang w:val="pl-PL"/>
        </w:rPr>
        <w:t>Dostosowanie osprzętu elektrycznego do potrzeb osób z niepełnosprawnościami:</w:t>
      </w:r>
    </w:p>
    <w:p w:rsidRPr="002169E1" w:rsidR="000D70DB" w:rsidP="7E3D1491" w:rsidRDefault="6B3D787C" w14:paraId="0904CF8D" w14:textId="6ED2DF46">
      <w:pPr>
        <w:pStyle w:val="ListBullet"/>
        <w:numPr>
          <w:ilvl w:val="0"/>
          <w:numId w:val="0"/>
        </w:numPr>
        <w:ind w:left="5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2D394177">
        <w:rPr>
          <w:rFonts w:eastAsia="Times New Roman" w:asciiTheme="majorHAnsi" w:hAnsiTheme="majorHAnsi" w:cstheme="majorHAnsi"/>
          <w:lang w:val="pl-PL"/>
        </w:rPr>
        <w:t>2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.1. </w:t>
      </w:r>
      <w:r w:rsidRPr="002169E1" w:rsidR="4D844B97">
        <w:rPr>
          <w:rFonts w:eastAsia="Times New Roman" w:asciiTheme="majorHAnsi" w:hAnsiTheme="majorHAnsi" w:cstheme="majorHAnsi"/>
          <w:lang w:val="pl-PL"/>
        </w:rPr>
        <w:t>Obniżenie wysokości montażu włączników światła do poziomu umożliwiającego wygodne użytkowanie przez osoby poruszające się na wózkach inwalidzkich – docelowo w przedziale 80–110 cm od poziomu posadzki.</w:t>
      </w:r>
    </w:p>
    <w:p w:rsidRPr="002169E1" w:rsidR="000D70DB" w:rsidP="00AC1087" w:rsidRDefault="4B1E6599" w14:paraId="19DCF68B" w14:textId="67C5F7EE">
      <w:pPr>
        <w:pStyle w:val="ListBullet"/>
        <w:numPr>
          <w:ilvl w:val="0"/>
          <w:numId w:val="0"/>
        </w:numPr>
        <w:ind w:left="5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2BF02E6A">
        <w:rPr>
          <w:rFonts w:eastAsia="Times New Roman" w:asciiTheme="majorHAnsi" w:hAnsiTheme="majorHAnsi" w:cstheme="majorHAnsi"/>
          <w:lang w:val="pl-PL"/>
        </w:rPr>
        <w:t>2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.2. </w:t>
      </w:r>
      <w:r w:rsidRPr="002169E1" w:rsidR="4D844B97">
        <w:rPr>
          <w:rFonts w:eastAsia="Times New Roman" w:asciiTheme="majorHAnsi" w:hAnsiTheme="majorHAnsi" w:cstheme="majorHAnsi"/>
          <w:lang w:val="pl-PL"/>
        </w:rPr>
        <w:t>Zwiększenie kontrastu wizualnego włączników światła względem tła poprzez</w:t>
      </w:r>
      <w:r w:rsidRPr="002169E1" w:rsidR="75012F9E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4D844B97">
        <w:rPr>
          <w:rFonts w:eastAsia="Times New Roman" w:asciiTheme="majorHAnsi" w:hAnsiTheme="majorHAnsi" w:cstheme="majorHAnsi"/>
          <w:lang w:val="pl-PL"/>
        </w:rPr>
        <w:t>wymianę osprzętu na modele o wyraźnie odróżniającej się kolorystyce (np. czarne, granatowe, czerwone</w:t>
      </w:r>
      <w:r w:rsidRPr="002169E1" w:rsidR="00AC1087">
        <w:rPr>
          <w:rFonts w:eastAsia="Times New Roman" w:asciiTheme="majorHAnsi" w:hAnsiTheme="majorHAnsi" w:cstheme="majorHAnsi"/>
          <w:lang w:val="pl-PL"/>
        </w:rPr>
        <w:t xml:space="preserve"> – do ustalenia z Zamawiającym</w:t>
      </w:r>
      <w:r w:rsidRPr="002169E1" w:rsidR="4D844B97">
        <w:rPr>
          <w:rFonts w:eastAsia="Times New Roman" w:asciiTheme="majorHAnsi" w:hAnsiTheme="majorHAnsi" w:cstheme="majorHAnsi"/>
          <w:lang w:val="pl-PL"/>
        </w:rPr>
        <w:t>),</w:t>
      </w:r>
      <w:r w:rsidRPr="002169E1" w:rsidR="00AC1087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4D844B97">
        <w:rPr>
          <w:rFonts w:eastAsia="Times New Roman" w:asciiTheme="majorHAnsi" w:hAnsiTheme="majorHAnsi" w:cstheme="majorHAnsi"/>
          <w:lang w:val="pl-PL"/>
        </w:rPr>
        <w:t>lub zastosowanie kontrastowych ramek przy zachowaniu istniejących mechanizmów.</w:t>
      </w:r>
    </w:p>
    <w:p w:rsidRPr="002169E1" w:rsidR="000D70DB" w:rsidP="7E3D1491" w:rsidRDefault="37E79043" w14:paraId="37D37D0F" w14:textId="4A801E1A">
      <w:pPr>
        <w:pStyle w:val="ListBullet"/>
        <w:numPr>
          <w:ilvl w:val="0"/>
          <w:numId w:val="0"/>
        </w:numPr>
        <w:ind w:left="54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2B49582F">
        <w:rPr>
          <w:rFonts w:eastAsia="Times New Roman" w:asciiTheme="majorHAnsi" w:hAnsiTheme="majorHAnsi" w:cstheme="majorHAnsi"/>
          <w:lang w:val="pl-PL"/>
        </w:rPr>
        <w:t>2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.3. </w:t>
      </w:r>
      <w:r w:rsidRPr="002169E1" w:rsidR="4D844B97">
        <w:rPr>
          <w:rFonts w:eastAsia="Times New Roman" w:asciiTheme="majorHAnsi" w:hAnsiTheme="majorHAnsi" w:cstheme="majorHAnsi"/>
          <w:lang w:val="pl-PL"/>
        </w:rPr>
        <w:t>Montaż gniazdek wtykowych na wysokości 40–110 cm, zgodnie z wytycznymi dotyczącymi dostępności, w sposób zapewniający ich łatwe zlokalizowanie i obsługę przez osoby z ograniczoną mobilnością.</w:t>
      </w:r>
    </w:p>
    <w:p w:rsidRPr="002169E1" w:rsidR="000D70DB" w:rsidP="7E3D1491" w:rsidRDefault="38841E02" w14:paraId="7443A9C8" w14:textId="39A07EDD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790FD5C9">
        <w:rPr>
          <w:rFonts w:eastAsia="Times New Roman" w:asciiTheme="majorHAnsi" w:hAnsiTheme="majorHAnsi" w:cstheme="majorHAnsi"/>
          <w:lang w:val="pl-PL"/>
        </w:rPr>
        <w:t>3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 w:rsidR="0D67B255">
        <w:rPr>
          <w:rFonts w:eastAsia="Times New Roman" w:asciiTheme="majorHAnsi" w:hAnsiTheme="majorHAnsi" w:cstheme="majorHAnsi"/>
          <w:lang w:val="pl-PL"/>
        </w:rPr>
        <w:t>Malowanie pomieszczenia:</w:t>
      </w:r>
    </w:p>
    <w:p w:rsidRPr="002169E1" w:rsidR="000D70DB" w:rsidP="7E3D1491" w:rsidRDefault="6D8FF648" w14:paraId="64228406" w14:textId="54CDDDF7">
      <w:pPr>
        <w:pStyle w:val="ListBullet"/>
        <w:numPr>
          <w:ilvl w:val="0"/>
          <w:numId w:val="0"/>
        </w:numPr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023DD333">
        <w:rPr>
          <w:rFonts w:eastAsia="Times New Roman" w:asciiTheme="majorHAnsi" w:hAnsiTheme="majorHAnsi" w:cstheme="majorHAnsi"/>
          <w:lang w:val="pl-PL"/>
        </w:rPr>
        <w:t>3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.1. </w:t>
      </w:r>
      <w:r w:rsidRPr="002169E1" w:rsidR="0D67B255">
        <w:rPr>
          <w:rFonts w:eastAsia="Times New Roman" w:asciiTheme="majorHAnsi" w:hAnsiTheme="majorHAnsi" w:cstheme="majorHAnsi"/>
          <w:lang w:val="pl-PL"/>
        </w:rPr>
        <w:t>Ściany zostaną pomalowane farbami o matowym wykończeniu, w kolorach zapewniających odpowiedni kontrast z elementami wyposażenia (np. drzwiami, włącznikami).</w:t>
      </w:r>
    </w:p>
    <w:p w:rsidRPr="002169E1" w:rsidR="000D70DB" w:rsidP="7E3D1491" w:rsidRDefault="7B825234" w14:paraId="2ED794AD" w14:textId="611A37B6">
      <w:pPr>
        <w:pStyle w:val="ListBullet"/>
        <w:numPr>
          <w:ilvl w:val="0"/>
          <w:numId w:val="0"/>
        </w:numPr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3B0D03AB">
        <w:rPr>
          <w:rFonts w:eastAsia="Times New Roman" w:asciiTheme="majorHAnsi" w:hAnsiTheme="majorHAnsi" w:cstheme="majorHAnsi"/>
          <w:lang w:val="pl-PL"/>
        </w:rPr>
        <w:t>3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.2. </w:t>
      </w:r>
      <w:r w:rsidRPr="002169E1" w:rsidR="0D67B255">
        <w:rPr>
          <w:rFonts w:eastAsia="Times New Roman" w:asciiTheme="majorHAnsi" w:hAnsiTheme="majorHAnsi" w:cstheme="majorHAnsi"/>
          <w:lang w:val="pl-PL"/>
        </w:rPr>
        <w:t xml:space="preserve">Zastosowane zostaną farby </w:t>
      </w:r>
      <w:proofErr w:type="spellStart"/>
      <w:r w:rsidRPr="002169E1" w:rsidR="0D67B255">
        <w:rPr>
          <w:rFonts w:eastAsia="Times New Roman" w:asciiTheme="majorHAnsi" w:hAnsiTheme="majorHAnsi" w:cstheme="majorHAnsi"/>
          <w:lang w:val="pl-PL"/>
        </w:rPr>
        <w:t>niskozapachowe</w:t>
      </w:r>
      <w:proofErr w:type="spellEnd"/>
      <w:r w:rsidRPr="002169E1" w:rsidR="0D67B255">
        <w:rPr>
          <w:rFonts w:eastAsia="Times New Roman" w:asciiTheme="majorHAnsi" w:hAnsiTheme="majorHAnsi" w:cstheme="majorHAnsi"/>
          <w:lang w:val="pl-PL"/>
        </w:rPr>
        <w:t>, bezpieczne dla zdrowia, zgodne z normami dla obiektów użyteczności publicznej.</w:t>
      </w:r>
    </w:p>
    <w:p w:rsidRPr="002169E1" w:rsidR="78800457" w:rsidP="78800457" w:rsidRDefault="78800457" w14:paraId="6BC76FA9" w14:textId="1E884725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</w:p>
    <w:p w:rsidRPr="002169E1" w:rsidR="00CC5719" w:rsidP="7E3D1491" w:rsidRDefault="685A8000" w14:paraId="7627ED25" w14:textId="77777777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2.</w:t>
      </w:r>
      <w:r w:rsidRPr="002169E1" w:rsidR="068DDCB5">
        <w:rPr>
          <w:rFonts w:eastAsia="Times New Roman" w:asciiTheme="majorHAnsi" w:hAnsiTheme="majorHAnsi" w:cstheme="majorHAnsi"/>
          <w:lang w:val="pl-PL"/>
        </w:rPr>
        <w:t>4</w:t>
      </w:r>
      <w:r w:rsidRPr="002169E1">
        <w:rPr>
          <w:rFonts w:eastAsia="Times New Roman" w:asciiTheme="majorHAnsi" w:hAnsiTheme="majorHAnsi" w:cstheme="majorHAnsi"/>
          <w:lang w:val="pl-PL"/>
        </w:rPr>
        <w:t>. Oznaczenie przeszklenia między</w:t>
      </w:r>
      <w:r w:rsidRPr="002169E1" w:rsidR="77A5A1A5">
        <w:rPr>
          <w:rFonts w:eastAsia="Times New Roman" w:asciiTheme="majorHAnsi" w:hAnsiTheme="majorHAnsi" w:cstheme="majorHAnsi"/>
          <w:lang w:val="pl-PL"/>
        </w:rPr>
        <w:t xml:space="preserve"> pokojami a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korytarzami</w:t>
      </w:r>
      <w:r w:rsidRPr="002169E1" w:rsidR="72B145EB">
        <w:rPr>
          <w:rFonts w:eastAsia="Times New Roman" w:asciiTheme="majorHAnsi" w:hAnsiTheme="majorHAnsi" w:cstheme="majorHAnsi"/>
          <w:lang w:val="pl-PL"/>
        </w:rPr>
        <w:t xml:space="preserve"> na </w:t>
      </w:r>
      <w:r w:rsidRPr="002169E1" w:rsidR="0F38A968">
        <w:rPr>
          <w:rFonts w:eastAsia="Times New Roman" w:asciiTheme="majorHAnsi" w:hAnsiTheme="majorHAnsi" w:cstheme="majorHAnsi"/>
          <w:lang w:val="pl-PL"/>
        </w:rPr>
        <w:t xml:space="preserve">parterze </w:t>
      </w:r>
      <w:r w:rsidRPr="002169E1" w:rsidR="72B145EB">
        <w:rPr>
          <w:rFonts w:eastAsia="Times New Roman" w:asciiTheme="majorHAnsi" w:hAnsiTheme="majorHAnsi" w:cstheme="majorHAnsi"/>
          <w:lang w:val="pl-PL"/>
        </w:rPr>
        <w:t>I piętrze</w:t>
      </w:r>
      <w:r w:rsidRPr="002169E1">
        <w:rPr>
          <w:rFonts w:eastAsia="Times New Roman" w:asciiTheme="majorHAnsi" w:hAnsiTheme="majorHAnsi" w:cstheme="majorHAnsi"/>
          <w:lang w:val="pl-PL"/>
        </w:rPr>
        <w:t>:</w:t>
      </w:r>
    </w:p>
    <w:p w:rsidRPr="002169E1" w:rsidR="685A8000" w:rsidP="7E3D1491" w:rsidRDefault="685A8000" w14:paraId="3676F7C8" w14:textId="29A20F1B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br/>
      </w:r>
      <w:r w:rsidRPr="002169E1">
        <w:rPr>
          <w:rFonts w:eastAsia="Times New Roman" w:asciiTheme="majorHAnsi" w:hAnsiTheme="majorHAnsi" w:cstheme="majorHAnsi"/>
          <w:lang w:val="pl-PL"/>
        </w:rPr>
        <w:t>W celu zwiększenia bezpieczeństwa i czytelności przestrzeni dla osób z niepełnosprawnościami wzroku, należy wykonać oznaczenie przeszklenia znajdującego się między korytarzem przy pomieszczeniach a</w:t>
      </w:r>
      <w:r w:rsidRPr="002169E1" w:rsidR="00351D68">
        <w:rPr>
          <w:rFonts w:eastAsia="Times New Roman" w:asciiTheme="majorHAnsi" w:hAnsiTheme="majorHAnsi" w:cstheme="majorHAnsi"/>
          <w:lang w:val="pl-PL"/>
        </w:rPr>
        <w:t xml:space="preserve"> korytarzami </w:t>
      </w:r>
      <w:r w:rsidRPr="002169E1">
        <w:rPr>
          <w:rFonts w:eastAsia="Times New Roman" w:asciiTheme="majorHAnsi" w:hAnsiTheme="majorHAnsi" w:cstheme="majorHAnsi"/>
          <w:lang w:val="pl-PL"/>
        </w:rPr>
        <w:t>(w rejonie windy i klatki schodowej</w:t>
      </w:r>
      <w:r w:rsidRPr="002169E1" w:rsidR="00351D68">
        <w:rPr>
          <w:rFonts w:eastAsia="Times New Roman" w:asciiTheme="majorHAnsi" w:hAnsiTheme="majorHAnsi" w:cstheme="majorHAnsi"/>
          <w:lang w:val="pl-PL"/>
        </w:rPr>
        <w:t xml:space="preserve"> oraz w </w:t>
      </w:r>
      <w:r w:rsidRPr="002169E1" w:rsidR="00547749">
        <w:rPr>
          <w:rFonts w:eastAsia="Times New Roman" w:asciiTheme="majorHAnsi" w:hAnsiTheme="majorHAnsi" w:cstheme="majorHAnsi"/>
          <w:lang w:val="pl-PL"/>
        </w:rPr>
        <w:t>przestrzeni Dziekanatu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) poprzez zastosowanie trzeciego pasa </w:t>
      </w:r>
      <w:proofErr w:type="spellStart"/>
      <w:r w:rsidRPr="002169E1">
        <w:rPr>
          <w:rFonts w:eastAsia="Times New Roman" w:asciiTheme="majorHAnsi" w:hAnsiTheme="majorHAnsi" w:cstheme="majorHAnsi"/>
          <w:lang w:val="pl-PL"/>
        </w:rPr>
        <w:t>oznaczeniowego</w:t>
      </w:r>
      <w:proofErr w:type="spellEnd"/>
      <w:r w:rsidRPr="002169E1">
        <w:rPr>
          <w:rFonts w:eastAsia="Times New Roman" w:asciiTheme="majorHAnsi" w:hAnsiTheme="majorHAnsi" w:cstheme="majorHAnsi"/>
          <w:lang w:val="pl-PL"/>
        </w:rPr>
        <w:t>, umieszczonego na wysokości do 30 cm od poziomu posadzki, ułatwiającego orientację osobom patrzącym pod nogi.</w:t>
      </w:r>
    </w:p>
    <w:p w:rsidRPr="002169E1" w:rsidR="00CC5719" w:rsidP="7E3D1491" w:rsidRDefault="00CC5719" w14:paraId="44B095DC" w14:textId="77777777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</w:p>
    <w:p w:rsidRPr="002169E1" w:rsidR="00DA0505" w:rsidP="7E3D1491" w:rsidRDefault="685A8000" w14:paraId="41A14253" w14:textId="77777777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2.6. Oznaczenie nachylenia </w:t>
      </w:r>
      <w:r w:rsidRPr="002169E1" w:rsidR="0461AF21">
        <w:rPr>
          <w:rFonts w:eastAsia="Times New Roman" w:asciiTheme="majorHAnsi" w:hAnsiTheme="majorHAnsi" w:cstheme="majorHAnsi"/>
          <w:lang w:val="pl-PL"/>
        </w:rPr>
        <w:t>podłóg</w:t>
      </w:r>
      <w:r w:rsidRPr="002169E1">
        <w:rPr>
          <w:rFonts w:eastAsia="Times New Roman" w:asciiTheme="majorHAnsi" w:hAnsiTheme="majorHAnsi" w:cstheme="majorHAnsi"/>
          <w:lang w:val="pl-PL"/>
        </w:rPr>
        <w:t>:</w:t>
      </w:r>
    </w:p>
    <w:p w:rsidRPr="002169E1" w:rsidR="685A8000" w:rsidP="7E3D1491" w:rsidRDefault="685A8000" w14:paraId="6988BFB0" w14:textId="2184F3B2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br/>
      </w:r>
      <w:r w:rsidRPr="002169E1">
        <w:rPr>
          <w:rFonts w:eastAsia="Times New Roman" w:asciiTheme="majorHAnsi" w:hAnsiTheme="majorHAnsi" w:cstheme="majorHAnsi"/>
          <w:lang w:val="pl-PL"/>
        </w:rPr>
        <w:t>W celu zapewnienia bezpiecznego poruszania się osób z niepełnosprawnościami, należy oznaczyć nachylenie w poziomie posadzki przy drzwiach prowadzących do korytarza np. za pomocą kontrastowego koloru tak, aby było ono widoczne i czytelne, a jednocześnie wyczuwalne dotykowo.</w:t>
      </w:r>
    </w:p>
    <w:p w:rsidRPr="002169E1" w:rsidR="7E3D1491" w:rsidP="7E3D1491" w:rsidRDefault="7E3D1491" w14:paraId="388ADB1F" w14:textId="3C7EBC6B">
      <w:pPr>
        <w:pStyle w:val="ListBullet"/>
        <w:numPr>
          <w:ilvl w:val="0"/>
          <w:numId w:val="0"/>
        </w:numPr>
        <w:ind w:left="567"/>
        <w:rPr>
          <w:rFonts w:eastAsia="Times New Roman" w:asciiTheme="majorHAnsi" w:hAnsiTheme="majorHAnsi" w:cstheme="majorHAnsi"/>
          <w:lang w:val="pl-PL"/>
        </w:rPr>
      </w:pPr>
    </w:p>
    <w:p w:rsidRPr="002169E1" w:rsidR="3BDFA086" w:rsidP="7E3D1491" w:rsidRDefault="4B9FBBEE" w14:paraId="74DD4897" w14:textId="1039EB4A">
      <w:pPr>
        <w:pStyle w:val="Heading2"/>
        <w:rPr>
          <w:rFonts w:eastAsia="Times New Roman" w:cstheme="majorHAnsi"/>
          <w:sz w:val="22"/>
          <w:szCs w:val="22"/>
          <w:lang w:val="pl-PL"/>
        </w:rPr>
      </w:pPr>
      <w:r w:rsidRPr="002169E1">
        <w:rPr>
          <w:rFonts w:eastAsia="Times New Roman" w:cstheme="majorHAnsi"/>
          <w:sz w:val="22"/>
          <w:szCs w:val="22"/>
          <w:lang w:val="pl-PL"/>
        </w:rPr>
        <w:t>Część III</w:t>
      </w:r>
      <w:r w:rsidRPr="002169E1" w:rsidR="3BDFA086">
        <w:rPr>
          <w:rFonts w:eastAsia="Times New Roman" w:cstheme="majorHAnsi"/>
          <w:sz w:val="22"/>
          <w:szCs w:val="22"/>
          <w:lang w:val="pl-PL"/>
        </w:rPr>
        <w:t xml:space="preserve"> </w:t>
      </w:r>
      <w:r w:rsidRPr="002169E1" w:rsidR="224DEF1B">
        <w:rPr>
          <w:rFonts w:eastAsia="Times New Roman" w:cstheme="majorHAnsi"/>
          <w:sz w:val="22"/>
          <w:szCs w:val="22"/>
          <w:lang w:val="pl-PL"/>
        </w:rPr>
        <w:t xml:space="preserve">Prace adaptacyjne dotyczące 4 łazienek dla </w:t>
      </w:r>
      <w:proofErr w:type="spellStart"/>
      <w:r w:rsidRPr="002169E1" w:rsidR="224DEF1B">
        <w:rPr>
          <w:rFonts w:eastAsia="Times New Roman" w:cstheme="majorHAnsi"/>
          <w:sz w:val="22"/>
          <w:szCs w:val="22"/>
          <w:lang w:val="pl-PL"/>
        </w:rPr>
        <w:t>OzN</w:t>
      </w:r>
      <w:proofErr w:type="spellEnd"/>
      <w:r w:rsidRPr="002169E1" w:rsidR="224DEF1B">
        <w:rPr>
          <w:rFonts w:eastAsia="Times New Roman" w:cstheme="majorHAnsi"/>
          <w:sz w:val="22"/>
          <w:szCs w:val="22"/>
          <w:lang w:val="pl-PL"/>
        </w:rPr>
        <w:t xml:space="preserve"> (piętra: 0, +1, +2, +3)</w:t>
      </w:r>
    </w:p>
    <w:p w:rsidRPr="002169E1" w:rsidR="7E3D1491" w:rsidP="7E3D1491" w:rsidRDefault="7E3D1491" w14:paraId="1C2CCF34" w14:textId="44A7EEFB">
      <w:pPr>
        <w:rPr>
          <w:rFonts w:eastAsia="Times New Roman" w:asciiTheme="majorHAnsi" w:hAnsiTheme="majorHAnsi" w:cstheme="majorHAnsi"/>
          <w:lang w:val="pl-PL"/>
        </w:rPr>
      </w:pPr>
    </w:p>
    <w:p w:rsidRPr="002169E1" w:rsidR="4DD6C425" w:rsidP="7E3D1491" w:rsidRDefault="4DD6C425" w14:paraId="402A1318" w14:textId="0C063123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Zakres prac obejmuje kompleksowe dostosowanie czterech łazienek do potrzeb osób z niepełnosprawnościami poprzez m.in. usunięcie barier architektonicznych, montaż uchwytów i przewij</w:t>
      </w:r>
      <w:r w:rsidRPr="002169E1" w:rsidR="00FC4B41">
        <w:rPr>
          <w:rFonts w:eastAsia="Times New Roman" w:asciiTheme="majorHAnsi" w:hAnsiTheme="majorHAnsi" w:cstheme="majorHAnsi"/>
          <w:lang w:val="pl-PL"/>
        </w:rPr>
        <w:t>aka w łazience na I piętrze</w:t>
      </w:r>
      <w:r w:rsidRPr="002169E1">
        <w:rPr>
          <w:rFonts w:eastAsia="Times New Roman" w:asciiTheme="majorHAnsi" w:hAnsiTheme="majorHAnsi" w:cstheme="majorHAnsi"/>
          <w:lang w:val="pl-PL"/>
        </w:rPr>
        <w:t>, zmianę lokalizacji wyposażenia sanitarnego, poprawę instalacji alarmowej oraz zapewnienie odpowiednich warunków manewrowych i</w:t>
      </w:r>
      <w:r w:rsidRPr="002169E1" w:rsidR="00FC4B41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ergonomicznych.</w:t>
      </w:r>
    </w:p>
    <w:p w:rsidRPr="002169E1" w:rsidR="00BD4EFD" w:rsidP="7E3D1491" w:rsidRDefault="00BD4EFD" w14:paraId="0DFBE900" w14:textId="77777777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</w:p>
    <w:p w:rsidRPr="002169E1" w:rsidR="00BD4EFD" w:rsidP="00BD4EFD" w:rsidRDefault="00BD4EFD" w14:paraId="348AADE4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u w:val="single"/>
          <w:lang w:val="pl-PL"/>
        </w:rPr>
        <w:t>Aktualny stan: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</w:t>
      </w:r>
    </w:p>
    <w:p w:rsidRPr="002169E1" w:rsidR="006038BC" w:rsidP="006038BC" w:rsidRDefault="006038BC" w14:paraId="7A676B25" w14:textId="77777777">
      <w:pPr>
        <w:pStyle w:val="ListBullet"/>
        <w:numPr>
          <w:ilvl w:val="0"/>
          <w:numId w:val="0"/>
        </w:numPr>
        <w:ind w:left="360" w:hanging="360"/>
        <w:rPr>
          <w:rFonts w:eastAsia="Times New Roman" w:asciiTheme="majorHAnsi" w:hAnsiTheme="majorHAnsi" w:cstheme="majorHAnsi"/>
          <w:lang w:val="pl-PL"/>
        </w:rPr>
      </w:pPr>
    </w:p>
    <w:p w:rsidRPr="002169E1" w:rsidR="00C35154" w:rsidP="006038BC" w:rsidRDefault="00C35154" w14:paraId="550C6A73" w14:textId="21974A46">
      <w:pPr>
        <w:pStyle w:val="ListBullet"/>
        <w:numPr>
          <w:ilvl w:val="0"/>
          <w:numId w:val="0"/>
        </w:numPr>
        <w:ind w:left="360" w:hanging="36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Ze względu na bardzo duże podobieństwo toalet między sobą, wszystkie uwagi i wytyczne</w:t>
      </w:r>
      <w:r w:rsidRPr="002169E1" w:rsidR="006038BC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zostały zawarte poniżej. Rekomenduje się (w miarę możliwości) dostosowanie się do nich, szczególnie w przypadku Toalety dostępnej na POZIOMIE </w:t>
      </w:r>
      <w:r w:rsidRPr="002169E1" w:rsidR="00E30693">
        <w:rPr>
          <w:rFonts w:eastAsia="Times New Roman" w:asciiTheme="majorHAnsi" w:hAnsiTheme="majorHAnsi" w:cstheme="majorHAnsi"/>
          <w:lang w:val="pl-PL"/>
        </w:rPr>
        <w:t>2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, obok nowopowstającej Strefy dostępności. Wszystkie wytyczne zostały zawarte także w Załączniku </w:t>
      </w:r>
      <w:r w:rsidRPr="002169E1" w:rsidR="00E30693">
        <w:rPr>
          <w:rFonts w:eastAsia="Times New Roman" w:asciiTheme="majorHAnsi" w:hAnsiTheme="majorHAnsi" w:cstheme="majorHAnsi"/>
          <w:lang w:val="pl-PL"/>
        </w:rPr>
        <w:t>1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. niniejszego dokumentu. </w:t>
      </w:r>
    </w:p>
    <w:p w:rsidRPr="002169E1" w:rsidR="00C35154" w:rsidP="00C35154" w:rsidRDefault="00C35154" w14:paraId="0272EDE5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Drzwi do toalet mają odpowiednie parametry wymiarowe (wysokość i szerokość w świetle ościeżnicy), zapewniające wygodny dostęp do pomieszczenia.) </w:t>
      </w:r>
    </w:p>
    <w:p w:rsidRPr="002169E1" w:rsidR="00C35154" w:rsidP="00C35154" w:rsidRDefault="00C35154" w14:paraId="0E1D1667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Wysokość progu w drzwiach do toalet jest prawidłowa i nie powoduje utrudnień w poruszaniu się użytkowników budynku. </w:t>
      </w:r>
    </w:p>
    <w:p w:rsidRPr="002169E1" w:rsidR="00C35154" w:rsidP="00C35154" w:rsidRDefault="00C35154" w14:paraId="0CF12758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Otwarcie drzwi nie wymaga znacznej siły. </w:t>
      </w:r>
    </w:p>
    <w:p w:rsidRPr="002169E1" w:rsidR="00C35154" w:rsidP="00C35154" w:rsidRDefault="00C35154" w14:paraId="1A7F0EBF" w14:textId="77777777">
      <w:pPr>
        <w:pStyle w:val="ListBullet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Klamki drzwi są wygodne w obsłudze, niewymagające obrotu i precyzyjnych czynności manipulacyjnych. Zaleca się jednak wymianę zamka na większy nie wymagający precyzyjnego chwytu oraz użycia siły</w:t>
      </w:r>
      <w:r w:rsidRPr="002169E1">
        <w:rPr>
          <w:rFonts w:eastAsia="Times New Roman" w:asciiTheme="majorHAnsi" w:hAnsiTheme="majorHAnsi" w:cstheme="majorHAnsi"/>
          <w:b/>
          <w:bCs/>
          <w:lang w:val="pl-PL"/>
        </w:rPr>
        <w:t xml:space="preserve">. </w:t>
      </w:r>
    </w:p>
    <w:p w:rsidRPr="002169E1" w:rsidR="00C35154" w:rsidP="00C35154" w:rsidRDefault="00C35154" w14:paraId="17657C92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Klamki drzwi do toalet są wystarczająco skontrastowane w stosunku do barwy drzwi, dzięki czemu są łatwo zauważalne (również dla osób z niepełnosprawnością wzroku). </w:t>
      </w:r>
    </w:p>
    <w:p w:rsidRPr="002169E1" w:rsidR="00F11264" w:rsidP="00F11264" w:rsidRDefault="00C35154" w14:paraId="2430390B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W toaletach brak wystarczającej powierzchni manewrowej (co najmniej 1,50 x 1,50 m), jednak ze względu, że jest ona mniejsza zaledwie o 0,03 m (1,47x18,2 m); można warunkowo uznać ją za spełniającą swoją funkcję. </w:t>
      </w:r>
    </w:p>
    <w:p w:rsidRPr="002169E1" w:rsidR="00EA6665" w:rsidP="00EA6665" w:rsidRDefault="00EA6665" w14:paraId="62B5D4CB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Podłogi toalet zostały wykonane z materiałów antypoślizgowych (również w warunkach zawilgocenia). </w:t>
      </w:r>
    </w:p>
    <w:p w:rsidRPr="002169E1" w:rsidR="00EA6665" w:rsidP="00EA6665" w:rsidRDefault="00EA6665" w14:paraId="74B15EA3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Wszystkie odpływy wody z poziomu posadzki i kratki podłogowe znajdują się poza przestrzenią manewrową wózka. </w:t>
      </w:r>
    </w:p>
    <w:p w:rsidRPr="002169E1" w:rsidR="00EA6665" w:rsidP="00EA6665" w:rsidRDefault="00EA6665" w14:paraId="53888CD3" w14:textId="2F9B221A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Brak pochwytów przy misce ustępowej. Konieczne jest wyposażenie miski ustępowej w obustronne pochwyty, w każdej toalecie. Pochwyty bezpieczeństwa przy misce ustępowej powinny być montowane na wysokości 0,75-0,80 m od poziomu posadzki. Zaleca się, aby pochwyty miały długość większą o 0,10-0,25 m od głębokości miski ustępowej. Dopuszczalne są poręcze stałe lub ruchome, poziome, pionowe i poziomo-pionowe. W przypadku ograniczonej powierzchni manewrowej zaleca się stosowanie uchwytów ruchomych w pionie. Dopuszczalne jest stosowanie uchwytów o karbowanej / pofalowanej powierzchni, które zwiększają pewność uchwytu. Zalecana średnica pochwytów: 20-35 mm. </w:t>
      </w:r>
    </w:p>
    <w:p w:rsidRPr="002169E1" w:rsidR="00EA6665" w:rsidP="00EA6665" w:rsidRDefault="00EA6665" w14:paraId="388F4D00" w14:textId="77777777">
      <w:pPr>
        <w:pStyle w:val="ListBullet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Miski ustępowe mają prawidłową wysokość i głębokość. </w:t>
      </w:r>
    </w:p>
    <w:p w:rsidRPr="002169E1" w:rsidR="00E55FE7" w:rsidP="00132DDB" w:rsidRDefault="00EA6665" w14:paraId="13F4688F" w14:textId="7DA0488D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Przyciski spłukiwania wody znajdują się na odpowiedniej wysokości.</w:t>
      </w:r>
      <w:r w:rsidRPr="002169E1" w:rsidR="00E55FE7">
        <w:rPr>
          <w:rFonts w:asciiTheme="majorHAnsi" w:hAnsiTheme="majorHAnsi" w:cstheme="majorHAnsi"/>
          <w:lang w:val="pl-PL"/>
        </w:rPr>
        <w:br/>
      </w:r>
      <w:r w:rsidRPr="002169E1" w:rsidR="00E55FE7">
        <w:rPr>
          <w:rFonts w:asciiTheme="majorHAnsi" w:hAnsiTheme="majorHAnsi" w:cstheme="majorHAnsi"/>
          <w:lang w:val="pl-PL"/>
        </w:rPr>
        <w:t xml:space="preserve">Przyciski znajdują się za plecami osoby korzystającej z toalety. Jeśli to możliwe, rekomenduje się zmianę miejsca, w którym zostały umieszczone i montaż na ścianie, z boku miski ustępowej lub w pochwytach bezpieczeństwa – nie na ścianie z tyłu. </w:t>
      </w:r>
    </w:p>
    <w:p w:rsidRPr="002169E1" w:rsidR="00E55FE7" w:rsidP="00E55FE7" w:rsidRDefault="00E55FE7" w14:paraId="225BFEDB" w14:textId="79C62B38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Brak pochwytów przy umywalce. Pochwyty bezpieczeństwa przy umywalce powinny być montowane po obu stronach umywalki, na wysokości jej blatu. Długość pochwytu nie może być mniejsza od głębokości umywalki – zaleca się pochwyty o długości większej od głębokości umywalki o 0,10-0,25 m. Dopuszczalne jest stosowanie uchwytów o karbowanej / pofalowanej powierzchni, które zwiększają pewność uchwytu. Zalecana średnica pochwytów: 20-35 mm.</w:t>
      </w:r>
    </w:p>
    <w:p w:rsidRPr="002169E1" w:rsidR="00E55FE7" w:rsidP="00E55FE7" w:rsidRDefault="00E55FE7" w14:paraId="3E4CE748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Blaty umywalek zostały zamontowane na odpowiedniej wysokości, pozwalającej na swobodny podjazd wózkiem.</w:t>
      </w:r>
    </w:p>
    <w:p w:rsidRPr="002169E1" w:rsidR="00E55FE7" w:rsidP="00E55FE7" w:rsidRDefault="00E55FE7" w14:paraId="27519930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Pod umywalkami zapewniona została przestrzeń na nogi o wysokości pozwalającej na swobodny podjazd wózkiem.</w:t>
      </w:r>
    </w:p>
    <w:p w:rsidRPr="002169E1" w:rsidR="00E55FE7" w:rsidP="00E55FE7" w:rsidRDefault="00E55FE7" w14:paraId="006E8CB9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Toalety zostały wyposażone w umywalki </w:t>
      </w:r>
      <w:proofErr w:type="spellStart"/>
      <w:r w:rsidRPr="002169E1">
        <w:rPr>
          <w:rFonts w:asciiTheme="majorHAnsi" w:hAnsiTheme="majorHAnsi" w:cstheme="majorHAnsi"/>
          <w:lang w:val="pl-PL"/>
        </w:rPr>
        <w:t>niskosyfonowe</w:t>
      </w:r>
      <w:proofErr w:type="spellEnd"/>
      <w:r w:rsidRPr="002169E1">
        <w:rPr>
          <w:rFonts w:asciiTheme="majorHAnsi" w:hAnsiTheme="majorHAnsi" w:cstheme="majorHAnsi"/>
          <w:lang w:val="pl-PL"/>
        </w:rPr>
        <w:t>.</w:t>
      </w:r>
    </w:p>
    <w:p w:rsidRPr="002169E1" w:rsidR="00C35071" w:rsidP="00C35071" w:rsidRDefault="00E55FE7" w14:paraId="2E2AD8A4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Umywalki zostały wyposażone w baterie z przedłużonym uchwytem. Rekomenduje się zapewnienie baterii o przedłużonej wylewce – maksymalna odległość wylewki od krawędzi umywalki nie powinna przekraczać 0,30 m. Część podajników znajduje się zbyt wysoko (podajniki ręczników papierowych, suszarki do rąk oraz wieszaki). Konieczne jest obniżenie wysokości montażu</w:t>
      </w:r>
      <w:r w:rsidRPr="002169E1" w:rsidR="00C35071">
        <w:rPr>
          <w:rFonts w:asciiTheme="majorHAnsi" w:hAnsiTheme="majorHAnsi" w:cstheme="majorHAnsi"/>
          <w:lang w:val="pl-PL"/>
        </w:rPr>
        <w:t xml:space="preserve"> podajników / włączników i umieszczenie ich na wysokości w przedziale 0,80-1,10 m. </w:t>
      </w:r>
    </w:p>
    <w:p w:rsidRPr="002169E1" w:rsidR="00C35071" w:rsidP="00C35071" w:rsidRDefault="00C35071" w14:paraId="3CC5C580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Część podajników, elementów wyposażenia (podajnik ręczników, lustro fot. 30) zamontowano w taki sposób (podajnik ręczników - zbyt głęboko), że ich obsłużenie może być utrudnione dla użytkownika wózka / osoby niskiego wzrostu / osoby mającej trudności w sięganiu i chwytaniu. Konieczna jest zmiana miejsca ich montażu i umieszczenie w takim miejscu, by możliwe i wygodne było ich obsłużenie zarówno w pozycji siedzącej, jak i stojącej </w:t>
      </w:r>
    </w:p>
    <w:p w:rsidRPr="002169E1" w:rsidR="00C35071" w:rsidP="00C35071" w:rsidRDefault="00C35071" w14:paraId="0A3682A4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(głębokość montażu, elementy zasłaniające).  </w:t>
      </w:r>
    </w:p>
    <w:p w:rsidRPr="002169E1" w:rsidR="00C35071" w:rsidP="00C35071" w:rsidRDefault="00C35071" w14:paraId="683E7776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Lustra w toaletach znajdują się zbyt wysoko - powinny zostać umieszczone powyżej umywalki, od wysokości 1,00 m (dla wygody użytkowania przez osoby niskiego wzrostu, dzieci i użytkowników wózków) do wysokości co najmniej 1,90 m od poziomu posadzki. </w:t>
      </w:r>
    </w:p>
    <w:p w:rsidRPr="002169E1" w:rsidR="00C35071" w:rsidP="00C35071" w:rsidRDefault="00C35071" w14:paraId="3F79D850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Poszczególne elementy wyposażenia toalety (miska ustępowa, umywalka itp.) są skontrastowane kolorystycznie w stosunku do ścian (w celu ich łatwiejszego odnalezienia). </w:t>
      </w:r>
    </w:p>
    <w:p w:rsidRPr="002169E1" w:rsidR="00C35071" w:rsidP="00C35071" w:rsidRDefault="00C35071" w14:paraId="406C44DD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Wszystkie elementy wyposażenia można obsłużyć za pomocą jednej ręki, bez przekręcania i ściskania. </w:t>
      </w:r>
    </w:p>
    <w:p w:rsidRPr="002169E1" w:rsidR="00E55FE7" w:rsidP="00C35071" w:rsidRDefault="00C35071" w14:paraId="4EBEC43D" w14:textId="149A96EC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Toalety została wyposażone w instalację alarmową.</w:t>
      </w:r>
    </w:p>
    <w:p w:rsidRPr="002169E1" w:rsidR="007C19BD" w:rsidP="007C19BD" w:rsidRDefault="007C19BD" w14:paraId="4C47E064" w14:textId="77777777">
      <w:pPr>
        <w:pStyle w:val="ListBullet"/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Linka wzywania pomocy znajduje się zbyt wysoko w toaletach na POZIOMIE 0 (zawiązany na wys. 1,48 m) i na POZIOMIE 3 (zawiązany na wys. 0,43 m) – powinna ona znajdować się na wysokości nieprzekraczającej 0,40 m od poziomu posadzki. </w:t>
      </w:r>
    </w:p>
    <w:p w:rsidRPr="002169E1" w:rsidR="007C19BD" w:rsidP="48AF048D" w:rsidRDefault="007C19BD" w14:paraId="687E1349" w14:textId="7C7836C3" w14:noSpellErr="1">
      <w:pPr>
        <w:pStyle w:val="ListBullet"/>
        <w:rPr>
          <w:rFonts w:ascii="Calibri" w:hAnsi="Calibri" w:cs="Calibri" w:asciiTheme="majorAscii" w:hAnsiTheme="majorAscii" w:cstheme="majorAscii"/>
          <w:lang w:val="pl-PL"/>
        </w:rPr>
      </w:pPr>
      <w:r w:rsidRPr="48AF048D" w:rsidR="3B0D8881">
        <w:rPr>
          <w:rFonts w:ascii="Calibri" w:hAnsi="Calibri" w:cs="Calibri" w:asciiTheme="majorAscii" w:hAnsiTheme="majorAscii" w:cstheme="majorAscii"/>
          <w:lang w:val="pl-PL"/>
        </w:rPr>
        <w:t>Przyciski kasowania alarmów umieszczono zbyt wysoko – powinien on znajdować się na wysokości 0,80-1,10 m od poziomu posadzki.</w:t>
      </w:r>
    </w:p>
    <w:p w:rsidRPr="002169E1" w:rsidR="199C17F3" w:rsidP="00970502" w:rsidRDefault="199C17F3" w14:paraId="38538E80" w14:textId="4DF4B11F">
      <w:pPr>
        <w:pStyle w:val="ListBullet"/>
        <w:numPr>
          <w:ilvl w:val="0"/>
          <w:numId w:val="0"/>
        </w:numPr>
        <w:rPr>
          <w:rFonts w:asciiTheme="majorHAnsi" w:hAnsiTheme="majorHAnsi" w:cstheme="majorHAnsi"/>
          <w:lang w:val="pl-PL"/>
        </w:rPr>
      </w:pPr>
    </w:p>
    <w:p w:rsidRPr="002169E1" w:rsidR="00812CC2" w:rsidP="7E3D1491" w:rsidRDefault="00335F5D" w14:paraId="3852F631" w14:textId="534AE34C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3. </w:t>
      </w:r>
      <w:r w:rsidRPr="002169E1" w:rsidR="7A8F5A80">
        <w:rPr>
          <w:rFonts w:eastAsia="Times New Roman" w:asciiTheme="majorHAnsi" w:hAnsiTheme="majorHAnsi" w:cstheme="majorHAnsi"/>
          <w:lang w:val="pl-PL"/>
        </w:rPr>
        <w:t>Zmiany dotyczące wszystkich 4 łazienek na piętrach 0 1, 2, 3</w:t>
      </w:r>
    </w:p>
    <w:p w:rsidRPr="002169E1" w:rsidR="00812CC2" w:rsidP="7E3D1491" w:rsidRDefault="00BD2C89" w14:paraId="61BB7663" w14:textId="3E0E5F7B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</w:t>
      </w:r>
      <w:r w:rsidRPr="002169E1" w:rsidR="00FC33A2">
        <w:rPr>
          <w:rFonts w:eastAsia="Times New Roman" w:asciiTheme="majorHAnsi" w:hAnsiTheme="majorHAnsi" w:cstheme="majorHAnsi"/>
          <w:lang w:val="pl-PL"/>
        </w:rPr>
        <w:t>1</w:t>
      </w:r>
      <w:r w:rsidRPr="002169E1">
        <w:rPr>
          <w:rFonts w:eastAsia="Times New Roman" w:asciiTheme="majorHAnsi" w:hAnsiTheme="majorHAnsi" w:cstheme="majorHAnsi"/>
          <w:lang w:val="pl-PL"/>
        </w:rPr>
        <w:t>. Zmiana lokalizacji umywalki w celu zapewnienia odpowiedniego pola manewrowego dla wózka inwalidzkiego (min. 150 cm średnicy). Umywalka powinna być zamontowana na wysokości 80–85 cm, z wolną przestrzenią pod spodem.</w:t>
      </w:r>
    </w:p>
    <w:p w:rsidRPr="002169E1" w:rsidR="00BD2C89" w:rsidP="7E3D1491" w:rsidRDefault="00BD2C89" w14:paraId="595B9B62" w14:textId="788DBD05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3.3. Montaż obustronnych pochwytów:</w:t>
      </w:r>
    </w:p>
    <w:p w:rsidRPr="002169E1" w:rsidR="00BD2C89" w:rsidP="7E3D1491" w:rsidRDefault="15303178" w14:paraId="395A60E9" w14:textId="0A263089">
      <w:pPr>
        <w:pStyle w:val="ListBullet"/>
        <w:numPr>
          <w:ilvl w:val="0"/>
          <w:numId w:val="0"/>
        </w:numPr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3.3.1. Przy misce ustępowej: montaż dwóch uchwytów – jeden stały, drugi uchylny,</w:t>
      </w:r>
      <w:r w:rsidRPr="002169E1" w:rsidR="3F45E516">
        <w:rPr>
          <w:rFonts w:eastAsia="Times New Roman" w:asciiTheme="majorHAnsi" w:hAnsiTheme="majorHAnsi" w:cstheme="majorHAnsi"/>
          <w:lang w:val="pl-PL"/>
        </w:rPr>
        <w:t xml:space="preserve"> </w:t>
      </w:r>
      <w:r w:rsidRPr="002169E1">
        <w:rPr>
          <w:rFonts w:eastAsia="Times New Roman" w:asciiTheme="majorHAnsi" w:hAnsiTheme="majorHAnsi" w:cstheme="majorHAnsi"/>
          <w:lang w:val="pl-PL"/>
        </w:rPr>
        <w:t>na wysokości 70–85 cm</w:t>
      </w:r>
      <w:r w:rsidRPr="002169E1" w:rsidR="7238DDB6">
        <w:rPr>
          <w:rFonts w:eastAsia="Times New Roman" w:asciiTheme="majorHAnsi" w:hAnsiTheme="majorHAnsi" w:cstheme="majorHAnsi"/>
          <w:lang w:val="pl-PL"/>
        </w:rPr>
        <w:t>;</w:t>
      </w:r>
    </w:p>
    <w:p w:rsidRPr="002169E1" w:rsidR="15303178" w:rsidP="7E3D1491" w:rsidRDefault="15303178" w14:paraId="222A2C1F" w14:textId="5745B57E">
      <w:pPr>
        <w:pStyle w:val="ListBullet"/>
        <w:numPr>
          <w:ilvl w:val="0"/>
          <w:numId w:val="0"/>
        </w:numPr>
        <w:ind w:left="567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3.3.2. Przy umywalce: montaż dwóch uchwytów bocznych, ułatwiających podparcie i stabilizację</w:t>
      </w:r>
      <w:r w:rsidRPr="002169E1" w:rsidR="02A7E701">
        <w:rPr>
          <w:rFonts w:eastAsia="Times New Roman" w:asciiTheme="majorHAnsi" w:hAnsiTheme="majorHAnsi" w:cstheme="majorHAnsi"/>
          <w:lang w:val="pl-PL"/>
        </w:rPr>
        <w:t>.</w:t>
      </w:r>
    </w:p>
    <w:p w:rsidRPr="002169E1" w:rsidR="00BD2C89" w:rsidP="7E3D1491" w:rsidRDefault="00BD2C89" w14:paraId="00F83C4B" w14:textId="77777777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3.4. Montaż lustra o wymiarach min. 60x80 cm, pochylonego pod kątem lub zamontowanego na wysokości umożliwiającej korzystanie osobom siedzącym i stojącym. </w:t>
      </w:r>
    </w:p>
    <w:p w:rsidRPr="002169E1" w:rsidR="00812CC2" w:rsidP="7E3D1491" w:rsidRDefault="00BD2C89" w14:paraId="03C5957A" w14:textId="5690BD83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3.5. Wymiana baterii umywalkowych. Zastosowanie baterii z długą wylewką (min. 15 cm) oraz uchwytem dźwigniowym, umożliwiającym obsługę jedną ręką lub łokciem.</w:t>
      </w:r>
    </w:p>
    <w:p w:rsidRPr="002169E1" w:rsidR="00124B6A" w:rsidP="7E3D1491" w:rsidRDefault="00124B6A" w14:paraId="4088215C" w14:textId="763FF010">
      <w:pPr>
        <w:pStyle w:val="ListBullet"/>
        <w:numPr>
          <w:ilvl w:val="0"/>
          <w:numId w:val="0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3.6. Poprawa instalacji alarmowej:</w:t>
      </w:r>
    </w:p>
    <w:p w:rsidRPr="002169E1" w:rsidR="00124B6A" w:rsidP="7E3D1491" w:rsidRDefault="00124B6A" w14:paraId="074157EF" w14:textId="7531DB9D">
      <w:pPr>
        <w:pStyle w:val="ListBullet"/>
        <w:numPr>
          <w:ilvl w:val="0"/>
          <w:numId w:val="0"/>
        </w:numPr>
        <w:ind w:left="72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3.6.1. Demontaż istniejącego przycisku kasowania alarmu.</w:t>
      </w:r>
    </w:p>
    <w:p w:rsidRPr="002169E1" w:rsidR="00124B6A" w:rsidP="7E3D1491" w:rsidRDefault="00124B6A" w14:paraId="368899EB" w14:textId="77777777">
      <w:pPr>
        <w:pStyle w:val="ListBullet"/>
        <w:numPr>
          <w:ilvl w:val="0"/>
          <w:numId w:val="0"/>
        </w:numPr>
        <w:ind w:left="72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3.6.2. Montaż nowego przycisku na wysokości maksymalnie 120 cm od poziomu posadzki, zgodnie z wytycznymi dotyczącymi dostępności dla osób poruszających się na wózkach.</w:t>
      </w:r>
    </w:p>
    <w:p w:rsidRPr="002169E1" w:rsidR="00124B6A" w:rsidP="7E3D1491" w:rsidRDefault="00124B6A" w14:paraId="57E34E74" w14:textId="77777777">
      <w:pPr>
        <w:pStyle w:val="ListBullet"/>
        <w:numPr>
          <w:ilvl w:val="0"/>
          <w:numId w:val="0"/>
        </w:numPr>
        <w:ind w:left="72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3.6.3. Zapewnienie odpowiedniego kontrastu wizualnego przycisku względem tła (współczynnik LRV ≥ 60).</w:t>
      </w:r>
    </w:p>
    <w:p w:rsidRPr="002169E1" w:rsidR="00124B6A" w:rsidP="7E3D1491" w:rsidRDefault="00124B6A" w14:paraId="4D44CF15" w14:textId="77777777">
      <w:pPr>
        <w:pStyle w:val="ListBullet"/>
        <w:numPr>
          <w:ilvl w:val="0"/>
          <w:numId w:val="0"/>
        </w:numPr>
        <w:ind w:left="72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3.6.4. Sprawdzenie poprawności działania systemu alarmowego po montażu – test funkcjonalny.</w:t>
      </w:r>
    </w:p>
    <w:p w:rsidRPr="002169E1" w:rsidR="00155A14" w:rsidP="00155A14" w:rsidRDefault="00155A14" w14:paraId="75013088" w14:textId="5C162BE1">
      <w:pPr>
        <w:pStyle w:val="ListBullet"/>
        <w:numPr>
          <w:ilvl w:val="0"/>
          <w:numId w:val="0"/>
        </w:numPr>
        <w:ind w:left="360" w:hanging="36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3.7. wymiana zamk</w:t>
      </w:r>
      <w:r w:rsidRPr="002169E1" w:rsidR="00AD68F5">
        <w:rPr>
          <w:rFonts w:eastAsia="Times New Roman" w:asciiTheme="majorHAnsi" w:hAnsiTheme="majorHAnsi" w:cstheme="majorHAnsi"/>
          <w:lang w:val="pl-PL"/>
        </w:rPr>
        <w:t>ów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na większ</w:t>
      </w:r>
      <w:r w:rsidRPr="002169E1" w:rsidR="00AD68F5">
        <w:rPr>
          <w:rFonts w:eastAsia="Times New Roman" w:asciiTheme="majorHAnsi" w:hAnsiTheme="majorHAnsi" w:cstheme="majorHAnsi"/>
          <w:lang w:val="pl-PL"/>
        </w:rPr>
        <w:t>e</w:t>
      </w:r>
      <w:r w:rsidRPr="002169E1" w:rsidR="00D472A2">
        <w:rPr>
          <w:rFonts w:eastAsia="Times New Roman" w:asciiTheme="majorHAnsi" w:hAnsiTheme="majorHAnsi" w:cstheme="majorHAnsi"/>
          <w:lang w:val="pl-PL"/>
        </w:rPr>
        <w:t>,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niewymagając</w:t>
      </w:r>
      <w:r w:rsidRPr="002169E1" w:rsidR="00D472A2">
        <w:rPr>
          <w:rFonts w:eastAsia="Times New Roman" w:asciiTheme="majorHAnsi" w:hAnsiTheme="majorHAnsi" w:cstheme="majorHAnsi"/>
          <w:lang w:val="pl-PL"/>
        </w:rPr>
        <w:t>e</w:t>
      </w:r>
      <w:r w:rsidRPr="002169E1">
        <w:rPr>
          <w:rFonts w:eastAsia="Times New Roman" w:asciiTheme="majorHAnsi" w:hAnsiTheme="majorHAnsi" w:cstheme="majorHAnsi"/>
          <w:lang w:val="pl-PL"/>
        </w:rPr>
        <w:t xml:space="preserve"> precyzyjnego chwytu oraz użycia siły</w:t>
      </w:r>
    </w:p>
    <w:p w:rsidRPr="002169E1" w:rsidR="006D39A9" w:rsidP="001D09D0" w:rsidRDefault="004B3E76" w14:paraId="60159597" w14:textId="49C052EC">
      <w:p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br w:type="page"/>
      </w:r>
    </w:p>
    <w:p w:rsidRPr="002169E1" w:rsidR="57B61655" w:rsidP="78800457" w:rsidRDefault="57B61655" w14:paraId="06CA7537" w14:textId="1D55CC9F">
      <w:pPr>
        <w:spacing w:after="0"/>
        <w:ind w:left="6480" w:firstLine="72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Załącznik 1</w:t>
      </w:r>
    </w:p>
    <w:p w:rsidR="78800457" w:rsidP="0091201C" w:rsidRDefault="006D39A9" w14:paraId="0DB1546D" w14:textId="61AFE215">
      <w:pPr>
        <w:pStyle w:val="Heading1"/>
        <w:rPr>
          <w:lang w:val="pl-PL"/>
        </w:rPr>
      </w:pPr>
      <w:r w:rsidRPr="006D39A9">
        <w:rPr>
          <w:lang w:val="pl-PL"/>
        </w:rPr>
        <w:t>Wytyczne projektowe</w:t>
      </w:r>
      <w:r>
        <w:rPr>
          <w:lang w:val="pl-PL"/>
        </w:rPr>
        <w:t xml:space="preserve"> </w:t>
      </w:r>
      <w:r w:rsidRPr="006D39A9">
        <w:rPr>
          <w:lang w:val="pl-PL"/>
        </w:rPr>
        <w:t>– standardy dostępności architektonicznej</w:t>
      </w:r>
    </w:p>
    <w:p w:rsidRPr="002169E1" w:rsidR="0091201C" w:rsidP="78800457" w:rsidRDefault="0091201C" w14:paraId="7CEE48EA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</w:p>
    <w:p w:rsidRPr="002169E1" w:rsidR="2628426D" w:rsidP="0091201C" w:rsidRDefault="2628426D" w14:paraId="41A3D399" w14:textId="7EB64CA6">
      <w:pPr>
        <w:pStyle w:val="ListParagraph"/>
        <w:numPr>
          <w:ilvl w:val="0"/>
          <w:numId w:val="27"/>
        </w:num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b/>
          <w:bCs/>
          <w:lang w:val="pl-PL"/>
        </w:rPr>
        <w:t>Wytyczne dla pochylni</w:t>
      </w:r>
    </w:p>
    <w:p w:rsidRPr="002169E1" w:rsidR="2628426D" w:rsidP="78800457" w:rsidRDefault="2628426D" w14:paraId="78772E18" w14:textId="5CE5D612">
      <w:p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Wprowadzanie pochylni jest wymagane przy zmianie poziomu ruchu pieszego, w przypadku, gdy nie jest możliwe zastosowanie łagodnych nachyleń do 5%.</w:t>
      </w:r>
    </w:p>
    <w:p w:rsidRPr="002169E1" w:rsidR="2628426D" w:rsidP="78800457" w:rsidRDefault="2628426D" w14:paraId="30A0F66E" w14:textId="309236F3">
      <w:p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W przypadku małych różnic wysokości, zamiast pochylni zalecana jest zmiana miejscowa niwelety chodnika, przy zachowaniu zalecanych wartości spadku podłużnego i poprzecznego.</w:t>
      </w:r>
    </w:p>
    <w:p w:rsidRPr="002169E1" w:rsidR="2628426D" w:rsidP="78800457" w:rsidRDefault="2628426D" w14:paraId="1D7E23E9" w14:textId="6F5393F3">
      <w:p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Pochylnia powinna znajdować się jak najbliżej głównego ciągu pieszego prowadzącego do budynku. Konieczne jest, aby była ona umieszczona w taki sposób, by w żadnym wypadku nie zawężała szerokości trasy wolnej od przeszkód w ciągu pieszym, przy którym się znajduje5.</w:t>
      </w:r>
    </w:p>
    <w:p w:rsidRPr="002169E1" w:rsidR="003F00BA" w:rsidP="78800457" w:rsidRDefault="003F00BA" w14:paraId="0C6B0DBE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</w:p>
    <w:p w:rsidRPr="002169E1" w:rsidR="2628426D" w:rsidP="78800457" w:rsidRDefault="2628426D" w14:paraId="683C4345" w14:textId="37352221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b/>
          <w:bCs/>
          <w:lang w:val="pl-PL"/>
        </w:rPr>
        <w:t>Wytyczne wymiarowe</w:t>
      </w:r>
    </w:p>
    <w:p w:rsidRPr="002169E1" w:rsidR="2628426D" w:rsidP="78800457" w:rsidRDefault="2628426D" w14:paraId="0168E53B" w14:textId="01FAE13B">
      <w:pPr>
        <w:spacing w:after="0"/>
        <w:rPr>
          <w:rFonts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Szerokość płaszczyzny ruchu pochylni powinna wynosić 1,20 m. W przypadku stosowania szerszej pochylni wymagane jest wydzielenie pasa ruchu o szerokości 1,20 m i obustronnych poręczach zamontowanych w odstępie 1,00-1,10 m.</w:t>
      </w:r>
    </w:p>
    <w:p w:rsidRPr="002169E1" w:rsidR="00124B6A" w:rsidP="7E3D1491" w:rsidRDefault="00124B6A" w14:paraId="42790C89" w14:textId="0CE6A339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124B6A" w:rsidP="78800457" w:rsidRDefault="005F1054" w14:paraId="0199DDFC" w14:textId="703BCB3E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noProof/>
          <w:lang w:val="pl-PL"/>
        </w:rPr>
        <w:drawing>
          <wp:inline distT="0" distB="0" distL="0" distR="0" wp14:anchorId="1D460EA0" wp14:editId="771B240B">
            <wp:extent cx="3802380" cy="1969844"/>
            <wp:effectExtent l="0" t="0" r="7620" b="0"/>
            <wp:docPr id="5475749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344" cy="197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A0328D" w:rsidP="78800457" w:rsidRDefault="00A0328D" w14:paraId="28C9E9E7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A0328D" w:rsidP="78800457" w:rsidRDefault="005F0490" w14:paraId="73298C78" w14:textId="6E0BB8BD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Pochylnie o długości przekraczającej 9,00 m muszą zostać podzielone na krótsze odcinki przy zastosowaniu spoczników o minimalnej długości 1,40 m i szerokości równej szerokości pochylni.</w:t>
      </w:r>
    </w:p>
    <w:p w:rsidRPr="002169E1" w:rsidR="0068462D" w:rsidP="78800457" w:rsidRDefault="0068462D" w14:paraId="387C9016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68462D" w:rsidP="78800457" w:rsidRDefault="0078498B" w14:paraId="11B72B51" w14:textId="18F5803D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noProof/>
          <w:lang w:val="pl-PL"/>
        </w:rPr>
        <w:drawing>
          <wp:inline distT="0" distB="0" distL="0" distR="0" wp14:anchorId="7DFEC3F4" wp14:editId="79504F0C">
            <wp:extent cx="5486400" cy="1836420"/>
            <wp:effectExtent l="0" t="0" r="0" b="0"/>
            <wp:docPr id="136177417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205FAB" w:rsidP="78800457" w:rsidRDefault="00205FAB" w14:paraId="73C2A79A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205FAB" w:rsidP="00205FAB" w:rsidRDefault="00205FAB" w14:paraId="6C71D04D" w14:textId="109F588C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Długość spocznika na początku i na końcu pochylni powinna wynosić co najmniej 1,50 m, przy czym zaleca się spoczniki o długości minimalnej 2,00 m.  </w:t>
      </w:r>
    </w:p>
    <w:p w:rsidRPr="002169E1" w:rsidR="00205FAB" w:rsidP="00205FAB" w:rsidRDefault="00205FAB" w14:paraId="03DE6B36" w14:textId="4C14AA9C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W przypadku spocznika, na którym występuje zmiana kierunku pochylni lub też spocznika na końcu pochylni, konieczne jest zapewnienie na nim przestrzeni manewrowej o wymiarach nie mniejszych niż 1,50 x 1,50 m (zalecane wymiary: 2,00 x 2,00 m) poza polem otwierania skrzydła drzwi wejściowych do budynku. Maksymalne dopuszczalne nachylenie płaszczyzny spocznika nie może przekraczać 1%, a jeśli nie jest to możliwe, w drodze odstępstwa dopuszcza się nachylenie do 2%.</w:t>
      </w:r>
    </w:p>
    <w:p w:rsidRPr="002169E1" w:rsidR="007C3AAB" w:rsidP="00205FAB" w:rsidRDefault="007C3AAB" w14:paraId="79D46A04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7C3AAB" w:rsidP="00205FAB" w:rsidRDefault="007C3AAB" w14:paraId="0196E7A6" w14:textId="563991DA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noProof/>
          <w:lang w:val="pl-PL"/>
        </w:rPr>
        <w:drawing>
          <wp:inline distT="0" distB="0" distL="0" distR="0" wp14:anchorId="3DEB4A7F" wp14:editId="4B675520">
            <wp:extent cx="5486400" cy="2659380"/>
            <wp:effectExtent l="0" t="0" r="0" b="7620"/>
            <wp:docPr id="106098384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B22502" w:rsidP="00205FAB" w:rsidRDefault="00B22502" w14:paraId="5BDCC6E1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B22502" w:rsidP="48AF048D" w:rsidRDefault="00B22502" w14:paraId="081D674B" w14:textId="5737EC81">
      <w:pPr>
        <w:spacing w:after="0"/>
        <w:rPr>
          <w:rFonts w:ascii="Calibri" w:hAnsi="Calibri" w:eastAsia="Times New Roman" w:cs="Calibri" w:asciiTheme="majorAscii" w:hAnsiTheme="majorAscii" w:cstheme="majorAscii"/>
          <w:lang w:val="pl-PL"/>
        </w:rPr>
      </w:pPr>
      <w:r w:rsidRPr="48AF048D" w:rsidR="74B4AE72">
        <w:rPr>
          <w:rFonts w:ascii="Calibri" w:hAnsi="Calibri" w:eastAsia="Times New Roman" w:cs="Calibri" w:asciiTheme="majorAscii" w:hAnsiTheme="majorAscii" w:cstheme="majorAscii"/>
          <w:lang w:val="pl-PL"/>
        </w:rPr>
        <w:t>Pochylni powinny towarzyszyć obustronne krawężniki lub elementy równoważne o wysokości 70 mm, zapobiegające ześlizgnięciu</w:t>
      </w:r>
      <w:r w:rsidRPr="48AF048D" w:rsidR="74B4AE72">
        <w:rPr>
          <w:rFonts w:ascii="Calibri" w:hAnsi="Calibri" w:eastAsia="Times New Roman" w:cs="Calibri" w:asciiTheme="majorAscii" w:hAnsiTheme="majorAscii" w:cstheme="majorAscii"/>
          <w:lang w:val="pl-PL"/>
        </w:rPr>
        <w:t xml:space="preserve">się kół wózka z pochylni. W przypadku pochylni zewnętrznych, w miarę możliwości, zaleca się ich zadaszenie.  </w:t>
      </w:r>
    </w:p>
    <w:p w:rsidRPr="002169E1" w:rsidR="0091201C" w:rsidP="00B22502" w:rsidRDefault="0091201C" w14:paraId="5206049A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</w:p>
    <w:p w:rsidRPr="002169E1" w:rsidR="0091201C" w:rsidP="00B22502" w:rsidRDefault="0091201C" w14:paraId="222415E6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</w:p>
    <w:p w:rsidRPr="002169E1" w:rsidR="003F00BA" w:rsidP="00B22502" w:rsidRDefault="003F00BA" w14:paraId="2A22B077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</w:p>
    <w:p w:rsidRPr="002169E1" w:rsidR="00B22502" w:rsidP="00B22502" w:rsidRDefault="00B22502" w14:paraId="6B1050EE" w14:textId="4BEB6F92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b/>
          <w:bCs/>
          <w:lang w:val="pl-PL"/>
        </w:rPr>
        <w:t xml:space="preserve">Nawierzchnia pochylni </w:t>
      </w:r>
    </w:p>
    <w:p w:rsidRPr="002169E1" w:rsidR="00B22502" w:rsidP="00B22502" w:rsidRDefault="00B22502" w14:paraId="41ADEDAC" w14:textId="6BFDAC80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Powierzchnię pochylni należy wykonać z materiałów o właściwościach antypoślizgowych (również w warunkach zawilgocenia i zamoczenia) i nieodbijających światła. Należy unikać wykonywania pochylni stałych z materiałów ażurowych.  </w:t>
      </w:r>
    </w:p>
    <w:p w:rsidRPr="002169E1" w:rsidR="00590FFA" w:rsidP="001A4321" w:rsidRDefault="00590FFA" w14:paraId="4AE2BF29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590FFA" w:rsidP="00590FFA" w:rsidRDefault="00590FFA" w14:paraId="4DAC39BD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b/>
          <w:bCs/>
          <w:lang w:val="pl-PL"/>
        </w:rPr>
        <w:t xml:space="preserve">Poręcze </w:t>
      </w:r>
    </w:p>
    <w:p w:rsidRPr="002169E1" w:rsidR="00590FFA" w:rsidP="00590FFA" w:rsidRDefault="00590FFA" w14:paraId="632FF847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Poręcze pochylni muszą być montowane na dwóch wysokościach:  </w:t>
      </w:r>
    </w:p>
    <w:p w:rsidRPr="002169E1" w:rsidR="00590FFA" w:rsidP="00590FFA" w:rsidRDefault="00590FFA" w14:paraId="425495DB" w14:textId="0030D732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0,75 m i 0,90 m. Powinny one biec nieprzerwanie przez całą długość pochylni </w:t>
      </w:r>
    </w:p>
    <w:p w:rsidRPr="002169E1" w:rsidR="00590FFA" w:rsidP="00590FFA" w:rsidRDefault="00590FFA" w14:paraId="4205D923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(również przez spoczniki) i wiernie odzwierciedlać jej kształt: skos poręczy powinien kończyć się na wysokości końca pochylni.  </w:t>
      </w:r>
    </w:p>
    <w:p w:rsidRPr="002169E1" w:rsidR="004D419C" w:rsidP="004D419C" w:rsidRDefault="00590FFA" w14:paraId="2011F929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Przed początkiem i za końcem pochylni pochwyty należy przedłużyć</w:t>
      </w:r>
      <w:r w:rsidRPr="002169E1" w:rsidR="004D419C">
        <w:rPr>
          <w:rFonts w:eastAsia="Times New Roman" w:asciiTheme="majorHAnsi" w:hAnsiTheme="majorHAnsi" w:cstheme="majorHAnsi"/>
          <w:lang w:val="pl-PL"/>
        </w:rPr>
        <w:t xml:space="preserve"> o 0,30 m i zakończyć w sposób zapewniający bezpieczne użytkowanie: konieczne jest wywinięcie ich końców w dół lub połączenie ze sobą pochwytów znajdujących się na dwóch wysokościach.</w:t>
      </w:r>
    </w:p>
    <w:p w:rsidRPr="002169E1" w:rsidR="004D419C" w:rsidP="004D419C" w:rsidRDefault="004D419C" w14:paraId="6C906E56" w14:textId="0DEC2BBB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Zalecane jest też oznaczenie pochwytów kolorem kontrastującym z kolorem tła (LRV min. 30). Zabrania się stosowania ostro zakończonych elementów. W przypadku montażu poręczy przy ścianie, pochwyt powinien być od niej oddalony o co najmniej 50 mm. Pochwyty poręczy muszą być montowane trwale, w sposób uniemożliwiający ich obrót. Zalecane są pochwyty o ergonomicznym kształcie: okrągłe lub obłe, o średnicy w przedziale od 35 do 45 mm – typowa zalecana średnica: 42,4 mm.</w:t>
      </w:r>
    </w:p>
    <w:p w:rsidRPr="002169E1" w:rsidR="001A4321" w:rsidP="004D419C" w:rsidRDefault="004D419C" w14:paraId="210CFBC1" w14:textId="7BE5CE4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Jeśli nie jest możliwe wybudowanie pochylni zgodnej z przepisami prawa i standardami dostępności, konieczne jest zastosowanie rozwiązań alternatywnych: dźwigów osobowych, ewentualnie podnośników (na zasadzie odstępstwa).</w:t>
      </w:r>
    </w:p>
    <w:p w:rsidRPr="002169E1" w:rsidR="00BD3677" w:rsidP="004D419C" w:rsidRDefault="00BD3677" w14:paraId="407F9B51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BD3677" w:rsidP="004D419C" w:rsidRDefault="00812F2C" w14:paraId="29698695" w14:textId="733D1930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noProof/>
          <w:lang w:val="pl-PL"/>
        </w:rPr>
        <w:drawing>
          <wp:inline distT="0" distB="0" distL="0" distR="0" wp14:anchorId="3A5DFE54" wp14:editId="75E52804">
            <wp:extent cx="5478780" cy="2255520"/>
            <wp:effectExtent l="0" t="0" r="7620" b="0"/>
            <wp:docPr id="26251224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812F2C" w:rsidP="004D419C" w:rsidRDefault="00812F2C" w14:paraId="29F603F4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523FA6" w:rsidP="00523FA6" w:rsidRDefault="00523FA6" w14:paraId="4A13741D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W żadnym wypadku zainstalowanie w budynku pochylni ruchomych nie zwalnia z obowiązku stosowania pochylni stałych13. W przypadku większych różnic terenu wskazane jest stosowanie dźwigów osobowych lub też dźwigów i pochylni. </w:t>
      </w:r>
    </w:p>
    <w:p w:rsidRPr="002169E1" w:rsidR="00812F2C" w:rsidP="00523FA6" w:rsidRDefault="00523FA6" w14:paraId="1EA75A75" w14:textId="675A4A89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 xml:space="preserve">Zaleca się, aby ciąg pochylni nie przekraczał 2,00 m różnicy poziomów, a jeśli nie jest to możliwe, zaleca się stosowanie dźwigu osobowego jako rozwiązania alternatywnego lub towarzyszącego pochylni.  </w:t>
      </w:r>
    </w:p>
    <w:p w:rsidRPr="002169E1" w:rsidR="0059207E" w:rsidP="00523FA6" w:rsidRDefault="0059207E" w14:paraId="103BC790" w14:textId="77777777">
      <w:pPr>
        <w:spacing w:after="0"/>
        <w:rPr>
          <w:rFonts w:eastAsia="Times New Roman" w:asciiTheme="majorHAnsi" w:hAnsiTheme="majorHAnsi" w:cstheme="majorHAnsi"/>
          <w:lang w:val="pl-PL"/>
        </w:rPr>
      </w:pPr>
    </w:p>
    <w:p w:rsidRPr="002169E1" w:rsidR="0059207E" w:rsidP="0059207E" w:rsidRDefault="0059207E" w14:paraId="0172B1B3" w14:textId="77777777">
      <w:pPr>
        <w:spacing w:after="0"/>
        <w:rPr>
          <w:rFonts w:eastAsia="Times New Roman" w:asciiTheme="majorHAnsi" w:hAnsiTheme="majorHAnsi" w:cstheme="majorHAnsi"/>
          <w:b/>
          <w:bCs/>
          <w:lang w:val="pl-PL"/>
        </w:rPr>
      </w:pPr>
      <w:r w:rsidRPr="002169E1">
        <w:rPr>
          <w:rFonts w:eastAsia="Times New Roman" w:asciiTheme="majorHAnsi" w:hAnsiTheme="majorHAnsi" w:cstheme="majorHAnsi"/>
          <w:b/>
          <w:bCs/>
          <w:lang w:val="pl-PL"/>
        </w:rPr>
        <w:t xml:space="preserve">Nachylenie pochylni </w:t>
      </w:r>
    </w:p>
    <w:p w:rsidRPr="002169E1" w:rsidR="0059207E" w:rsidP="0059207E" w:rsidRDefault="0059207E" w14:paraId="67425E35" w14:textId="5A3A092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lang w:val="pl-PL"/>
        </w:rPr>
        <w:t>Maksymalne dopuszczalne nachylenie pochylni wg przepisów prawa</w:t>
      </w:r>
      <w:r w:rsidRPr="002169E1" w:rsidR="00E30F70">
        <w:rPr>
          <w:rFonts w:eastAsia="Times New Roman" w:asciiTheme="majorHAnsi" w:hAnsiTheme="majorHAnsi" w:cstheme="majorHAnsi"/>
          <w:lang w:val="pl-PL"/>
        </w:rPr>
        <w:t xml:space="preserve"> (Zgodne z Warunkami technicznymi dla budynków, § 70)</w:t>
      </w:r>
    </w:p>
    <w:p w:rsidRPr="002169E1" w:rsidR="00E30F70" w:rsidP="0059207E" w:rsidRDefault="002E125A" w14:paraId="216817A6" w14:textId="1E615737">
      <w:pPr>
        <w:spacing w:after="0"/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eastAsia="Times New Roman" w:asciiTheme="majorHAnsi" w:hAnsiTheme="majorHAnsi" w:cstheme="majorHAnsi"/>
          <w:noProof/>
          <w:lang w:val="pl-PL"/>
        </w:rPr>
        <w:drawing>
          <wp:inline distT="0" distB="0" distL="0" distR="0" wp14:anchorId="764C8D52" wp14:editId="5F8D586B">
            <wp:extent cx="3329940" cy="1403298"/>
            <wp:effectExtent l="0" t="0" r="3810" b="6985"/>
            <wp:docPr id="106251747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38" cy="140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6D39A9" w:rsidP="00932941" w:rsidRDefault="006D39A9" w14:paraId="08735975" w14:textId="77777777">
      <w:pPr>
        <w:rPr>
          <w:rFonts w:eastAsia="Times New Roman" w:asciiTheme="majorHAnsi" w:hAnsiTheme="majorHAnsi" w:cstheme="majorHAnsi"/>
          <w:lang w:val="pl-PL"/>
        </w:rPr>
      </w:pPr>
    </w:p>
    <w:p w:rsidRPr="002169E1" w:rsidR="00000064" w:rsidP="00000064" w:rsidRDefault="00C251A8" w14:paraId="77885243" w14:textId="12A71F97">
      <w:pPr>
        <w:pStyle w:val="ListParagraph"/>
        <w:numPr>
          <w:ilvl w:val="0"/>
          <w:numId w:val="27"/>
        </w:numPr>
        <w:rPr>
          <w:rFonts w:eastAsia="Times New Roman"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>Wytyczne dla schodów zewnętrznych, schodów wewnętrznych, pochwytów i kontrastów.</w:t>
      </w:r>
    </w:p>
    <w:p w:rsidRPr="002169E1" w:rsidR="00000064" w:rsidP="00000064" w:rsidRDefault="00000064" w14:paraId="1B7ACA53" w14:textId="77777777">
      <w:p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 xml:space="preserve">Schody zewnętrzne  </w:t>
      </w:r>
    </w:p>
    <w:p w:rsidRPr="002169E1" w:rsidR="00000064" w:rsidP="00000064" w:rsidRDefault="00000064" w14:paraId="50B08E18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 przypadku zastosowania schodów zewnętrznych konieczne jest zapewnienie minimalnej szerokości biegu równej 1,20 m (przy czym według przepisów prawa wymagana jest szerokość nie mniejsza niż szerokość schodów wewnętrznych w budynku).  </w:t>
      </w:r>
    </w:p>
    <w:p w:rsidRPr="002169E1" w:rsidR="00000064" w:rsidP="00000064" w:rsidRDefault="00000064" w14:paraId="2048148C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Przy szerokości biegu schodów powyżej 4,00 m konieczne jest zastosowanie dodatkowej balustrady pośredniej.  </w:t>
      </w:r>
    </w:p>
    <w:p w:rsidRPr="002169E1" w:rsidR="00000064" w:rsidP="00000064" w:rsidRDefault="00000064" w14:paraId="06A37775" w14:textId="084912EF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W jednym biegu schodów zewnętrznych może znajdować się od 3 do 10 stopni – w przypadku większej ich liczby wymagane jest stosowanie spoczników. Minimalna szerokość użytkowa spocznika wynosi 1,50 m, maksymalne dopuszczalne nachylenie jego płaszczyzny to 2%.</w:t>
      </w:r>
    </w:p>
    <w:p w:rsidRPr="002169E1" w:rsidR="00F04974" w:rsidP="00000064" w:rsidRDefault="00F04974" w14:paraId="63BED526" w14:textId="77777777">
      <w:pPr>
        <w:rPr>
          <w:rFonts w:asciiTheme="majorHAnsi" w:hAnsiTheme="majorHAnsi" w:cstheme="majorHAnsi"/>
          <w:noProof/>
          <w:lang w:val="pl-PL"/>
        </w:rPr>
      </w:pPr>
    </w:p>
    <w:p w:rsidRPr="002169E1" w:rsidR="007179E6" w:rsidP="00000064" w:rsidRDefault="00F04974" w14:paraId="6D580BCB" w14:textId="200465B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1A1E3CA7" wp14:editId="48FBE93C">
            <wp:extent cx="5113020" cy="1376308"/>
            <wp:effectExtent l="0" t="0" r="0" b="0"/>
            <wp:docPr id="80709730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030" r="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950" cy="138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2169E1" w:rsidR="007179E6" w:rsidP="00000064" w:rsidRDefault="007179E6" w14:paraId="7622372F" w14:textId="77777777">
      <w:pPr>
        <w:rPr>
          <w:rFonts w:asciiTheme="majorHAnsi" w:hAnsiTheme="majorHAnsi" w:cstheme="majorHAnsi"/>
          <w:lang w:val="pl-PL"/>
        </w:rPr>
      </w:pPr>
    </w:p>
    <w:p w:rsidRPr="002169E1" w:rsidR="007179E6" w:rsidP="00000064" w:rsidRDefault="007179E6" w14:paraId="75FBDC3B" w14:textId="3172D610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Wszystkie stopnie w biegu muszą mieć taką samą szerokość i wysokość – minimalna szerokość stopnia schodów zewnętrznych wynosi 0,35 m, maksymalna wysokość stopnia to 0,15 m, przy czym zaleca się wysokość nieprzekraczającą 0,12 m (wygodną również dla osób mających problemy w poruszaniu się).</w:t>
      </w:r>
    </w:p>
    <w:p w:rsidRPr="002169E1" w:rsidR="00AF1978" w:rsidP="00000064" w:rsidRDefault="00AF1978" w14:paraId="54655887" w14:textId="5E7F4634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147DB5A5" wp14:editId="499B1B9E">
            <wp:extent cx="5486400" cy="1371600"/>
            <wp:effectExtent l="0" t="0" r="0" b="0"/>
            <wp:docPr id="38497382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9A73D5" w:rsidP="009A73D5" w:rsidRDefault="009A73D5" w14:paraId="756488AE" w14:textId="77777777">
      <w:p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 xml:space="preserve">Schody wewnętrzne </w:t>
      </w:r>
    </w:p>
    <w:p w:rsidRPr="002169E1" w:rsidR="007179E6" w:rsidP="009A73D5" w:rsidRDefault="009A73D5" w14:paraId="6580D4AF" w14:textId="478AAF78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W przypadku schodów wewnętrznych konieczne jest zapewnienie minimalnej szerokości biegu równej 1,20 m. Maksymalna liczba stopni  w jednym biegu schodów znajdujących się w budynkach mieszkalnych wynosi. Wszystkie stopnie w biegu muszą mieć taką samą szerokość i wysokość. Maksymalna wysokość stopnia jest równa 0,17 m</w:t>
      </w:r>
      <w:r w:rsidRPr="002169E1" w:rsidR="003F6945">
        <w:rPr>
          <w:rFonts w:asciiTheme="majorHAnsi" w:hAnsiTheme="majorHAnsi" w:cstheme="majorHAnsi"/>
          <w:lang w:val="pl-PL"/>
        </w:rPr>
        <w:t>,</w:t>
      </w:r>
      <w:r w:rsidRPr="002169E1">
        <w:rPr>
          <w:rFonts w:asciiTheme="majorHAnsi" w:hAnsiTheme="majorHAnsi" w:cstheme="majorHAnsi"/>
          <w:lang w:val="pl-PL"/>
        </w:rPr>
        <w:t xml:space="preserve"> przy czym rekomenduje się stopnie nie wyższe niż 0,15 m (dla komfortu użytkowników o ograniczonej mobilności).</w:t>
      </w:r>
    </w:p>
    <w:p w:rsidRPr="002169E1" w:rsidR="001D6092" w:rsidP="001D6092" w:rsidRDefault="001D6092" w14:paraId="64C030DC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 przypadku większej liczby stopni w biegu wymagane jest stosowanie spoczników: minimalna szerokość użytkowa spocznika wynosi 1,50 m, maksymalne dopuszczalne nachylenie jego płaszczyzny to 2%.  </w:t>
      </w:r>
    </w:p>
    <w:p w:rsidRPr="002169E1" w:rsidR="001D6092" w:rsidP="001D6092" w:rsidRDefault="001D6092" w14:paraId="3C1F6594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Podobnie jak w przypadku schodów zewnętrznych wysokość i szerokość stopnia schodów musi wynikać ze wzoru: </w:t>
      </w:r>
    </w:p>
    <w:p w:rsidRPr="002169E1" w:rsidR="001D6092" w:rsidP="001D6092" w:rsidRDefault="001D6092" w14:paraId="1B88A9B2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2h + s = 0,60 do 0,65 m </w:t>
      </w:r>
    </w:p>
    <w:p w:rsidRPr="002169E1" w:rsidR="001D6092" w:rsidP="001D6092" w:rsidRDefault="001D6092" w14:paraId="64E2DDB7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gdzie: h – wysokość stopnia, s – szerokość stopnia. </w:t>
      </w:r>
    </w:p>
    <w:p w:rsidRPr="002169E1" w:rsidR="001D6092" w:rsidP="001D6092" w:rsidRDefault="001D6092" w14:paraId="6E609D54" w14:textId="77777777">
      <w:p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 xml:space="preserve">Poręcze </w:t>
      </w:r>
    </w:p>
    <w:p w:rsidRPr="002169E1" w:rsidR="001D6092" w:rsidP="001D6092" w:rsidRDefault="001D6092" w14:paraId="58DD6D4F" w14:textId="3B371FF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Konieczne jest wyposażenie schodów zewnętrznych i wewnętrznych w poręcze, przedłużone o 0,30 m poza krawędź pierwszego i ostatniego stopnia i zakończone w sposób zapewniający ich bezpieczne użytkowanie (np. poprzez wywinięcie ich końców w dół). Rekomenduje się również skontrastowanie koloru pochwytu poręczy z kolorem tła (LRV min. 30). Poręcze powinny biec nieprzerwanie przez cały ciąg schodów i wiernie odzwierciedlać ich bieg: skos poręczy powinien kończyć się na wysokości ostatniego stopnia w biegu. Jeśli to możliwe, poręcze powinny biec nieprzerwanie również przez spoczniki schodów.</w:t>
      </w:r>
    </w:p>
    <w:p w:rsidRPr="002169E1" w:rsidR="0087074A" w:rsidP="001D6092" w:rsidRDefault="000402A6" w14:paraId="19EFC6D5" w14:textId="224062DC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77D3FF57" wp14:editId="550E5785">
            <wp:extent cx="5486400" cy="2463800"/>
            <wp:effectExtent l="0" t="0" r="0" b="0"/>
            <wp:docPr id="1413528034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87074A" w:rsidP="001D6092" w:rsidRDefault="0087074A" w14:paraId="3991B957" w14:textId="77777777">
      <w:pPr>
        <w:rPr>
          <w:rFonts w:asciiTheme="majorHAnsi" w:hAnsiTheme="majorHAnsi" w:cstheme="majorHAnsi"/>
          <w:noProof/>
          <w:lang w:val="pl-PL"/>
        </w:rPr>
      </w:pPr>
    </w:p>
    <w:p w:rsidRPr="002169E1" w:rsidR="00F0449A" w:rsidP="0035214C" w:rsidRDefault="0035214C" w14:paraId="77B9130C" w14:textId="2E142239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Wszystkie stopnie w biegu muszą mieć taką samą szerokość i wysokość – minimalna szerokość stopnia schodów zewnętrznych wynosi 0,35 m, maksymalna wysokość stopnia to 0,15 m, przy czym zaleca się wysokość nieprzekraczającą 0,12 m (wygodną również dla osób mających problemy w poruszaniu się). </w:t>
      </w:r>
    </w:p>
    <w:p w:rsidRPr="002169E1" w:rsidR="00413EEF" w:rsidP="00413EEF" w:rsidRDefault="00413EEF" w14:paraId="260BD87C" w14:textId="77777777">
      <w:p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>Kontrasty</w:t>
      </w:r>
    </w:p>
    <w:p w:rsidRPr="002169E1" w:rsidR="00ED3606" w:rsidP="00413EEF" w:rsidRDefault="00413EEF" w14:paraId="120B5731" w14:textId="5916AC22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Kolor i faktura stopni powinny być dobrane w taki sposób, aby osoby z ograniczoną możliwością widzenia mogły uzyskać pełną informację (wizualną i dotykową). Krawędzie pierwszego i ostatniego stopnia każdego biegu schodów należy oznaczyć pasami w jednolitym, skontrastowanym z tłem kolorze, znajdującymi się na powierzchni pionowej i poziomej stopnia. W przypadku biegu o trzech stopniach wymagane jest oznakowanie wszystkich trzech stopni</w:t>
      </w:r>
      <w:r w:rsidRPr="002169E1" w:rsidR="002358D4">
        <w:rPr>
          <w:rFonts w:asciiTheme="majorHAnsi" w:hAnsiTheme="majorHAnsi" w:cstheme="majorHAnsi"/>
          <w:lang w:val="pl-PL"/>
        </w:rPr>
        <w:t>.</w:t>
      </w:r>
    </w:p>
    <w:p w:rsidRPr="002169E1" w:rsidR="0039321A" w:rsidP="0039321A" w:rsidRDefault="0039321A" w14:paraId="7B7AC0B1" w14:textId="7E26E0EF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Na całej szerokości schodów – w odległości co najmniej 0,30 m przed pierwszym stopniem w górę i 0,30 m przed pierwszym stopniem  w dół zaleca się instalowanie oznakowania dotykowego: pasa ostrzegawczego o szerokości 0,60-0,80 m.</w:t>
      </w:r>
    </w:p>
    <w:p w:rsidRPr="002169E1" w:rsidR="000D7117" w:rsidP="0039321A" w:rsidRDefault="000D7117" w14:paraId="6F6E4256" w14:textId="77777777">
      <w:pPr>
        <w:rPr>
          <w:rFonts w:asciiTheme="majorHAnsi" w:hAnsiTheme="majorHAnsi" w:cstheme="majorHAnsi"/>
          <w:lang w:val="pl-PL"/>
        </w:rPr>
      </w:pPr>
    </w:p>
    <w:p w:rsidRPr="002169E1" w:rsidR="00A42C37" w:rsidP="0039321A" w:rsidRDefault="00E73B18" w14:paraId="48845983" w14:textId="40DEA0D6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69096521" wp14:editId="0BCC1108">
            <wp:extent cx="5486400" cy="1432560"/>
            <wp:effectExtent l="0" t="0" r="0" b="0"/>
            <wp:docPr id="92325377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A42C37" w:rsidP="0039321A" w:rsidRDefault="00A42C37" w14:paraId="531E90E7" w14:textId="77777777">
      <w:pPr>
        <w:rPr>
          <w:rFonts w:asciiTheme="majorHAnsi" w:hAnsiTheme="majorHAnsi" w:cstheme="majorHAnsi"/>
          <w:lang w:val="pl-PL"/>
        </w:rPr>
      </w:pPr>
    </w:p>
    <w:p w:rsidRPr="002169E1" w:rsidR="0091201C" w:rsidP="0039321A" w:rsidRDefault="0091201C" w14:paraId="4AFA9A41" w14:textId="77777777">
      <w:pPr>
        <w:rPr>
          <w:rFonts w:asciiTheme="majorHAnsi" w:hAnsiTheme="majorHAnsi" w:cstheme="majorHAnsi"/>
          <w:lang w:val="pl-PL"/>
        </w:rPr>
      </w:pPr>
    </w:p>
    <w:p w:rsidRPr="002169E1" w:rsidR="0091201C" w:rsidP="0039321A" w:rsidRDefault="0091201C" w14:paraId="16BEA6F8" w14:textId="77777777">
      <w:pPr>
        <w:rPr>
          <w:rFonts w:asciiTheme="majorHAnsi" w:hAnsiTheme="majorHAnsi" w:cstheme="majorHAnsi"/>
          <w:lang w:val="pl-PL"/>
        </w:rPr>
      </w:pPr>
    </w:p>
    <w:p w:rsidRPr="002169E1" w:rsidR="00A42C37" w:rsidP="00840FA6" w:rsidRDefault="00A42C37" w14:paraId="6C5367B3" w14:textId="33CF82C0">
      <w:pPr>
        <w:pStyle w:val="ListParagraph"/>
        <w:numPr>
          <w:ilvl w:val="0"/>
          <w:numId w:val="27"/>
        </w:num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 xml:space="preserve">Wytyczne dla oznaczeń drzwi i przegród przeszklonych </w:t>
      </w:r>
    </w:p>
    <w:p w:rsidRPr="002169E1" w:rsidR="00A42C37" w:rsidP="00A42C37" w:rsidRDefault="00A42C37" w14:paraId="4A588F89" w14:textId="56BE23C8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W przypadku zastosowania drzwi szklanych lub drzwi z przeszkleniami wymagane jest stosowanie szyb ze szkła bezpiecznego. Konieczne jest też oznaczenie ich przynajmniej dwoma pasami kontrastującymi kolorystycznie z tłem, umieszczonymi na wysokości: 1,30-1,40 m (pierwszy pas) i 0,90-1,00 m (drugi pas). Zalecane jest umieszczenie także trzeciego pasa na wysokości 0,10-0,30 m (przydatnego dla osób patrzących pod nogi). Minimalna szerokość pasów: 0,10 m. W ich obrębie mogą być umieszczone znaki, symbole i motywy graficzne. Konieczne jest zapewnienie kontrastu pasów i tła na poziomie min. LRV=60 w każdych warunkach oświetleniowych.</w:t>
      </w:r>
    </w:p>
    <w:p w:rsidRPr="002169E1" w:rsidR="00387147" w:rsidP="00A42C37" w:rsidRDefault="00F33A0F" w14:paraId="26F91E93" w14:textId="1F24792B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7D041CCA" wp14:editId="2A7D2C97">
            <wp:extent cx="5478780" cy="1394460"/>
            <wp:effectExtent l="0" t="0" r="7620" b="0"/>
            <wp:docPr id="8153716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387147" w:rsidP="00A42C37" w:rsidRDefault="00387147" w14:paraId="36DD4B1A" w14:textId="77777777">
      <w:pPr>
        <w:rPr>
          <w:rFonts w:asciiTheme="majorHAnsi" w:hAnsiTheme="majorHAnsi" w:cstheme="majorHAnsi"/>
          <w:lang w:val="pl-PL"/>
        </w:rPr>
      </w:pPr>
    </w:p>
    <w:p w:rsidRPr="002169E1" w:rsidR="00387147" w:rsidP="00A42C37" w:rsidRDefault="00387147" w14:paraId="5621A2A1" w14:textId="408D742A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Zaleca się także, aby dolna krawędź przeszklonych drzwi wejściowych była zabezpieczona w sposób chroniący przed uderzeniem kołami wózka do wysokości 0,40 m (np. poprzez zastosowanie listwy do tej wysokości lub innego elementu chroniącego szkło).  </w:t>
      </w:r>
    </w:p>
    <w:p w:rsidRPr="002169E1" w:rsidR="00F33A0F" w:rsidP="00A42C37" w:rsidRDefault="004B1609" w14:paraId="449C1111" w14:textId="1C5CB9D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4B24A871" wp14:editId="63786237">
            <wp:extent cx="5478780" cy="1584960"/>
            <wp:effectExtent l="0" t="0" r="7620" b="0"/>
            <wp:docPr id="1282332925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4B1609" w:rsidP="00A42C37" w:rsidRDefault="004B1609" w14:paraId="6700770E" w14:textId="77777777">
      <w:pPr>
        <w:rPr>
          <w:rFonts w:asciiTheme="majorHAnsi" w:hAnsiTheme="majorHAnsi" w:cstheme="majorHAnsi"/>
          <w:lang w:val="pl-PL"/>
        </w:rPr>
      </w:pPr>
    </w:p>
    <w:p w:rsidRPr="002169E1" w:rsidR="004A3A4E" w:rsidP="00840FA6" w:rsidRDefault="004A3A4E" w14:paraId="56C92840" w14:textId="7F27C352">
      <w:pPr>
        <w:pStyle w:val="ListParagraph"/>
        <w:numPr>
          <w:ilvl w:val="0"/>
          <w:numId w:val="27"/>
        </w:num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 xml:space="preserve">Wytyczne dla toalety dostępnej </w:t>
      </w:r>
    </w:p>
    <w:p w:rsidRPr="002169E1" w:rsidR="00C83926" w:rsidP="004A3A4E" w:rsidRDefault="00C83926" w14:paraId="248E34FF" w14:textId="33D3DBAE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Wewnątrz toalety konieczne jest zapewnienie powierzchni manewrowej o wymiarach 1,50 x 1,50 m oraz powierzchni transferowej o szerokości nie mniejszej niż 0,90 m, znajdującej się przynajmniej z jednej strony miski ustępowej, przy czym zaleca się zapewnienie możliwości transferu obustronnego.  </w:t>
      </w:r>
    </w:p>
    <w:p w:rsidRPr="002169E1" w:rsidR="00DA42C4" w:rsidP="004A3A4E" w:rsidRDefault="00CD0970" w14:paraId="61C28F9C" w14:textId="61927FF4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610F21FF" wp14:editId="4FB31498">
            <wp:extent cx="4884420" cy="2313316"/>
            <wp:effectExtent l="0" t="0" r="0" b="0"/>
            <wp:docPr id="1354146832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424" cy="231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CD0970" w:rsidP="004A3A4E" w:rsidRDefault="00CD0970" w14:paraId="79252103" w14:textId="77777777">
      <w:pPr>
        <w:rPr>
          <w:rFonts w:asciiTheme="majorHAnsi" w:hAnsiTheme="majorHAnsi" w:cstheme="majorHAnsi"/>
          <w:lang w:val="pl-PL"/>
        </w:rPr>
      </w:pPr>
    </w:p>
    <w:p w:rsidRPr="002169E1" w:rsidR="00CD0970" w:rsidP="00E30C15" w:rsidRDefault="00E30C15" w14:paraId="119FA0E1" w14:textId="638A159E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Konieczny jest montaż odpowiednio przystosowanej miski ustępowej oraz umywalki </w:t>
      </w:r>
      <w:proofErr w:type="spellStart"/>
      <w:r w:rsidRPr="002169E1">
        <w:rPr>
          <w:rFonts w:asciiTheme="majorHAnsi" w:hAnsiTheme="majorHAnsi" w:cstheme="majorHAnsi"/>
          <w:lang w:val="pl-PL"/>
        </w:rPr>
        <w:t>niskosyfonowej</w:t>
      </w:r>
      <w:proofErr w:type="spellEnd"/>
      <w:r w:rsidRPr="002169E1">
        <w:rPr>
          <w:rFonts w:asciiTheme="majorHAnsi" w:hAnsiTheme="majorHAnsi" w:cstheme="majorHAnsi"/>
          <w:lang w:val="pl-PL"/>
        </w:rPr>
        <w:t xml:space="preserve"> z baterią automatyczną o przedłużonej wlewce lub zwykłą baterią jednouchwytową o przedłużonej wlewce i uchwycie. W toalecie należy zapewnić również pochwyty (stałe i uchylne) po obu stronach miski ustępowej i umywalki. Przycisk do spłukiwania wody należy umieścić na wysokości od 0,80 do 1,10 m powyżej poziomu posadzki. Jeśli to możliwe, rekomenduje się jego montaż na ścianie z boku miski ustępowej lub w pochwytach bezpieczeństwa – nie na ścianie z tyłu.</w:t>
      </w:r>
    </w:p>
    <w:p w:rsidRPr="002169E1" w:rsidR="00601F6B" w:rsidP="00E30C15" w:rsidRDefault="00221847" w14:paraId="4A09AD55" w14:textId="57D02F5A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760DFE1E" wp14:editId="2FBB38ED">
            <wp:extent cx="4663440" cy="2309019"/>
            <wp:effectExtent l="0" t="0" r="3810" b="0"/>
            <wp:docPr id="246947376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502" cy="2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221847" w:rsidP="001D4F97" w:rsidRDefault="008C3FCB" w14:paraId="21DF4145" w14:textId="7BAB8B3B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Pochwyty bezpieczeństwa przy misce ustępowej powinny być montowane na wysokości 0,75-0,80 m od poziomu posadzki. Zaleca się, aby pochwyty miały długość większą</w:t>
      </w:r>
      <w:r w:rsidRPr="002169E1" w:rsidR="001D4F97">
        <w:rPr>
          <w:rFonts w:asciiTheme="majorHAnsi" w:hAnsiTheme="majorHAnsi" w:cstheme="majorHAnsi"/>
          <w:lang w:val="pl-PL"/>
        </w:rPr>
        <w:t xml:space="preserve"> o 0,10-0,25 m od głębokości miski ustępowej. Zalecana średnica: 20-35 mm. Pochwyty bezpieczeństwa przy umywalce powinny być montowane na wysokości blatu umywalki. Długość pochwytu nie może być mniejsza od głębokości umywalki –zaleca się pochwyty o długości większej od głębokości umywalki o 0,10-0,25 m. Zalecana średnica:</w:t>
      </w:r>
      <w:r w:rsidRPr="002169E1" w:rsidR="002C67A5">
        <w:rPr>
          <w:rFonts w:asciiTheme="majorHAnsi" w:hAnsiTheme="majorHAnsi" w:cstheme="majorHAnsi"/>
          <w:lang w:val="pl-PL"/>
        </w:rPr>
        <w:t xml:space="preserve"> </w:t>
      </w:r>
    </w:p>
    <w:p w:rsidRPr="002169E1" w:rsidR="002C67A5" w:rsidP="002C67A5" w:rsidRDefault="002C67A5" w14:paraId="5545D1BF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20-35 mm.</w:t>
      </w:r>
    </w:p>
    <w:p w:rsidRPr="002169E1" w:rsidR="002C67A5" w:rsidP="002C67A5" w:rsidRDefault="002C67A5" w14:paraId="21A15BBE" w14:textId="4154DA16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Przykłady pochwytów uchylnych z przyciskiem pneumatycznym (a), przyciskiem radiowym (b) i przyciskiem elektrycznym (c) do spłukiwania wody:</w:t>
      </w:r>
      <w:r w:rsidRPr="002169E1" w:rsidR="007F21B9">
        <w:rPr>
          <w:rFonts w:asciiTheme="majorHAnsi" w:hAnsiTheme="majorHAnsi" w:cstheme="majorHAnsi"/>
          <w:noProof/>
          <w:lang w:val="pl-PL"/>
        </w:rPr>
        <w:drawing>
          <wp:inline distT="0" distB="0" distL="0" distR="0" wp14:anchorId="22271671" wp14:editId="50393397">
            <wp:extent cx="5067300" cy="1076801"/>
            <wp:effectExtent l="0" t="0" r="0" b="9525"/>
            <wp:docPr id="5199524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627" cy="108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69E1" w:rsidR="006B45F3" w:rsidP="002C67A5" w:rsidRDefault="006B45F3" w14:paraId="7FED78E0" w14:textId="77777777">
      <w:pPr>
        <w:rPr>
          <w:rFonts w:asciiTheme="majorHAnsi" w:hAnsiTheme="majorHAnsi" w:cstheme="majorHAnsi"/>
          <w:lang w:val="pl-PL"/>
        </w:rPr>
      </w:pPr>
    </w:p>
    <w:p w:rsidRPr="002169E1" w:rsidR="006B45F3" w:rsidP="006B45F3" w:rsidRDefault="006B45F3" w14:paraId="66048DF6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Wszystkie włączniki światła oraz elementy wyposażenia (podajnik mydła, papieru toaletowego, ręczników, suszarka do rąk) należy montować na wysokości 0,80-1,10 m powyżej poziomu posadzki. Konieczne jest też wyposażenie pomieszczenia toalety w lustro, umieszczone na wysokości nie większej niż 1,00 m od poziomu posadzki (dla wygody użytkowania przez osoby niskiego wzrostu, dzieci i użytkowników wózków). Wszystkie elementy wyposażenia toalety powinny być skontrastowane w stosunku do ścian, w celu ich łatwiejszego zlokalizowania przez osoby z niepełnosprawnością wzroku – rekomenduje się kontrast minimalny na poziomie LRV=30. </w:t>
      </w:r>
    </w:p>
    <w:p w:rsidRPr="002169E1" w:rsidR="0007453E" w:rsidP="006B45F3" w:rsidRDefault="006B45F3" w14:paraId="2F5147EE" w14:textId="22D2248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Konieczne jest również wyposażenie pomieszczenia toalety dostępnej w przycisk lub linkę wzywania pomocy, znajdującą się na maksymalnej wysokości 0,40 m od poziomu posadzki. Przycisk / linka powinny aktywować alarm na zewnątrz toalety i w pomieszczeniu obsługi (jeśli takie znajduje się w budynku).</w:t>
      </w:r>
    </w:p>
    <w:p w:rsidRPr="002169E1" w:rsidR="0007453E" w:rsidRDefault="0007453E" w14:paraId="72D0013E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br w:type="page"/>
      </w:r>
    </w:p>
    <w:p w:rsidRPr="002169E1" w:rsidR="006B45F3" w:rsidP="006B45F3" w:rsidRDefault="006B45F3" w14:paraId="452B225D" w14:textId="77777777">
      <w:pPr>
        <w:rPr>
          <w:rFonts w:asciiTheme="majorHAnsi" w:hAnsiTheme="majorHAnsi" w:cstheme="majorHAnsi"/>
          <w:lang w:val="pl-PL"/>
        </w:rPr>
      </w:pPr>
    </w:p>
    <w:p w:rsidRPr="002169E1" w:rsidR="00C800FF" w:rsidP="0007453E" w:rsidRDefault="00C800FF" w14:paraId="02E8582B" w14:textId="43F7ED8D">
      <w:pPr>
        <w:pStyle w:val="ListParagraph"/>
        <w:numPr>
          <w:ilvl w:val="0"/>
          <w:numId w:val="27"/>
        </w:num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>Materiały referencyjne</w:t>
      </w:r>
    </w:p>
    <w:p w:rsidRPr="002169E1" w:rsidR="00C800FF" w:rsidP="006B45F3" w:rsidRDefault="00A9534A" w14:paraId="2C1A698E" w14:textId="7B9BE9ED">
      <w:pPr>
        <w:rPr>
          <w:rFonts w:asciiTheme="majorHAnsi" w:hAnsiTheme="majorHAnsi" w:cstheme="majorHAnsi"/>
          <w:b/>
          <w:bCs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>Przepisy i normy</w:t>
      </w:r>
    </w:p>
    <w:p w:rsidRPr="002169E1" w:rsidR="00A9534A" w:rsidP="00A9534A" w:rsidRDefault="00A9534A" w14:paraId="12F9FE36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b/>
          <w:bCs/>
          <w:lang w:val="pl-PL"/>
        </w:rPr>
        <w:t>1.</w:t>
      </w:r>
      <w:r w:rsidRPr="002169E1">
        <w:rPr>
          <w:rFonts w:asciiTheme="majorHAnsi" w:hAnsiTheme="majorHAnsi" w:cstheme="majorHAnsi"/>
          <w:b/>
          <w:bCs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Konwencja o prawach osób niepełnosprawnych, sporządzona w Nowym Jorku dnia 13 grudnia 2006 r. (Dz.U. 2012 poz. 1169)</w:t>
      </w:r>
    </w:p>
    <w:p w:rsidRPr="002169E1" w:rsidR="00A9534A" w:rsidP="00A9534A" w:rsidRDefault="00A9534A" w14:paraId="1B9A2AA5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2.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 xml:space="preserve">Ustawa z dnia 7 lipca 1994 r. - Prawo budowlane (Dz.U. 1994 nr 89 poz. 414 z </w:t>
      </w:r>
      <w:proofErr w:type="spellStart"/>
      <w:r w:rsidRPr="002169E1">
        <w:rPr>
          <w:rFonts w:asciiTheme="majorHAnsi" w:hAnsiTheme="majorHAnsi" w:cstheme="majorHAnsi"/>
          <w:lang w:val="pl-PL"/>
        </w:rPr>
        <w:t>późn</w:t>
      </w:r>
      <w:proofErr w:type="spellEnd"/>
      <w:r w:rsidRPr="002169E1">
        <w:rPr>
          <w:rFonts w:asciiTheme="majorHAnsi" w:hAnsiTheme="majorHAnsi" w:cstheme="majorHAnsi"/>
          <w:lang w:val="pl-PL"/>
        </w:rPr>
        <w:t>. zm.)</w:t>
      </w:r>
    </w:p>
    <w:p w:rsidRPr="002169E1" w:rsidR="00A9534A" w:rsidP="00A9534A" w:rsidRDefault="00A9534A" w14:paraId="0462CB4B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3.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Ustawa z dnia 19 lipca 2019 r. o zapewnianiu dostępności osobom ze szczególnymi potrzebami (Dz.U. 2019 poz. 1696)</w:t>
      </w:r>
    </w:p>
    <w:p w:rsidRPr="002169E1" w:rsidR="00A9534A" w:rsidP="00A9534A" w:rsidRDefault="00A9534A" w14:paraId="5D1DBD6F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4.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Ustawa z dnia 24 sierpnia 1991 r. o ochronie przeciwpożarowej (Dz.U. 2020 poz. 961)</w:t>
      </w:r>
    </w:p>
    <w:p w:rsidRPr="002169E1" w:rsidR="00A9534A" w:rsidP="00A9534A" w:rsidRDefault="00A9534A" w14:paraId="58F92636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5.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Rozporządzenie Ministra Infrastruktury z dnia 12 kwietnia 2002 r. w sprawie warunków technicznych, jakim powinny odpowiadać budynki i ich usytuowanie</w:t>
      </w:r>
    </w:p>
    <w:p w:rsidRPr="002169E1" w:rsidR="00A9534A" w:rsidP="00A9534A" w:rsidRDefault="00A9534A" w14:paraId="693BCC1E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 xml:space="preserve">(Dz.U. 2002 nr 75 poz. 690 z </w:t>
      </w:r>
      <w:proofErr w:type="spellStart"/>
      <w:r w:rsidRPr="002169E1">
        <w:rPr>
          <w:rFonts w:asciiTheme="majorHAnsi" w:hAnsiTheme="majorHAnsi" w:cstheme="majorHAnsi"/>
          <w:lang w:val="pl-PL"/>
        </w:rPr>
        <w:t>późn</w:t>
      </w:r>
      <w:proofErr w:type="spellEnd"/>
      <w:r w:rsidRPr="002169E1">
        <w:rPr>
          <w:rFonts w:asciiTheme="majorHAnsi" w:hAnsiTheme="majorHAnsi" w:cstheme="majorHAnsi"/>
          <w:lang w:val="pl-PL"/>
        </w:rPr>
        <w:t>. zm.)</w:t>
      </w:r>
    </w:p>
    <w:p w:rsidRPr="002169E1" w:rsidR="00A9534A" w:rsidP="00A9534A" w:rsidRDefault="00A9534A" w14:paraId="36128752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6.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Rozporządzenie Ministra Infrastruktury z dnia 3 lipca 2003 r. w sprawie szczegółowych warunków technicznych dla znaków i sygnałów drogowych oraz urządzeń bezpieczeństwa ruchu drogowego i warunków ich umieszczania na drogach, zał. 3. Szczegółowe warunki techniczne dla sygnałów drogowych i warunki ich umieszczania na drogach (Dz.U. 2015 poz. 1314)</w:t>
      </w:r>
    </w:p>
    <w:p w:rsidRPr="002169E1" w:rsidR="00A9534A" w:rsidP="00A9534A" w:rsidRDefault="00A9534A" w14:paraId="7FDE2841" w14:textId="77777777">
      <w:pPr>
        <w:rPr>
          <w:rFonts w:asciiTheme="majorHAnsi" w:hAnsiTheme="majorHAnsi" w:cstheme="majorHAnsi"/>
        </w:rPr>
      </w:pPr>
      <w:r w:rsidRPr="002169E1">
        <w:rPr>
          <w:rFonts w:asciiTheme="majorHAnsi" w:hAnsiTheme="majorHAnsi" w:cstheme="majorHAnsi"/>
        </w:rPr>
        <w:t>7.</w:t>
      </w:r>
      <w:r w:rsidRPr="002169E1">
        <w:rPr>
          <w:rFonts w:asciiTheme="majorHAnsi" w:hAnsiTheme="majorHAnsi" w:cstheme="majorHAnsi"/>
        </w:rPr>
        <w:tab/>
      </w:r>
      <w:r w:rsidRPr="002169E1">
        <w:rPr>
          <w:rFonts w:asciiTheme="majorHAnsi" w:hAnsiTheme="majorHAnsi" w:cstheme="majorHAnsi"/>
        </w:rPr>
        <w:t>Norma ISO 21542:2011 Building construction – Accessibility and usability of the building Environment</w:t>
      </w:r>
    </w:p>
    <w:p w:rsidRPr="002169E1" w:rsidR="00A9534A" w:rsidP="00A9534A" w:rsidRDefault="00A9534A" w14:paraId="08BB5328" w14:textId="77777777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8.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Norma PN-EN 12464-1:2012 Światło i oświetlenie - Oświetlenie miejsc pracy -Część 1: Miejsca pracy we wnętrzach</w:t>
      </w:r>
    </w:p>
    <w:p w:rsidRPr="002169E1" w:rsidR="00A9534A" w:rsidP="00A9534A" w:rsidRDefault="00A9534A" w14:paraId="2C71FB4F" w14:textId="249444E2">
      <w:pPr>
        <w:rPr>
          <w:rFonts w:asciiTheme="majorHAnsi" w:hAnsiTheme="majorHAnsi" w:cstheme="majorHAnsi"/>
          <w:lang w:val="pl-PL"/>
        </w:rPr>
      </w:pPr>
      <w:r w:rsidRPr="002169E1">
        <w:rPr>
          <w:rFonts w:asciiTheme="majorHAnsi" w:hAnsiTheme="majorHAnsi" w:cstheme="majorHAnsi"/>
          <w:lang w:val="pl-PL"/>
        </w:rPr>
        <w:t>9.</w:t>
      </w:r>
      <w:r w:rsidRPr="002169E1">
        <w:rPr>
          <w:rFonts w:asciiTheme="majorHAnsi" w:hAnsiTheme="majorHAnsi" w:cstheme="majorHAnsi"/>
          <w:lang w:val="pl-PL"/>
        </w:rPr>
        <w:tab/>
      </w:r>
      <w:r w:rsidRPr="002169E1">
        <w:rPr>
          <w:rFonts w:asciiTheme="majorHAnsi" w:hAnsiTheme="majorHAnsi" w:cstheme="majorHAnsi"/>
          <w:lang w:val="pl-PL"/>
        </w:rPr>
        <w:t>Norma PN-EN 81-70:2018-07 Przepisy bezpieczeństwa dotyczące budowy i instalowania dźwigów – Szczególne zastosowania dźwigów osobowych i towarowo-osobowych – Część 70: Dostępność dźwigów dla osób, w tym osób niepełnosprawnych.</w:t>
      </w:r>
    </w:p>
    <w:p w:rsidRPr="002169E1" w:rsidR="00BE3418" w:rsidP="00BE3418" w:rsidRDefault="00BE3418" w14:paraId="1E77172A" w14:textId="445710C7">
      <w:pPr>
        <w:rPr>
          <w:rFonts w:asciiTheme="majorHAnsi" w:hAnsiTheme="majorHAnsi" w:cstheme="majorHAnsi"/>
          <w:lang w:val="pl-PL"/>
        </w:rPr>
      </w:pPr>
    </w:p>
    <w:sectPr w:rsidRPr="002169E1" w:rsidR="00BE3418" w:rsidSect="00034616">
      <w:headerReference w:type="default" r:id="rId23"/>
      <w:footerReference w:type="default" r:id="rId2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6674" w:rsidP="00A95B04" w:rsidRDefault="008E6674" w14:paraId="6C6DD19A" w14:textId="77777777">
      <w:pPr>
        <w:spacing w:after="0" w:line="240" w:lineRule="auto"/>
      </w:pPr>
      <w:r>
        <w:separator/>
      </w:r>
    </w:p>
  </w:endnote>
  <w:endnote w:type="continuationSeparator" w:id="0">
    <w:p w:rsidR="008E6674" w:rsidP="00A95B04" w:rsidRDefault="008E6674" w14:paraId="76D41E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1C6E1535" w:rsidTr="1C6E1535" w14:paraId="1D33A3A8" w14:textId="77777777">
      <w:trPr>
        <w:trHeight w:val="300"/>
      </w:trPr>
      <w:tc>
        <w:tcPr>
          <w:tcW w:w="2880" w:type="dxa"/>
        </w:tcPr>
        <w:p w:rsidR="1C6E1535" w:rsidP="1C6E1535" w:rsidRDefault="1C6E1535" w14:paraId="1E5BE27D" w14:textId="7BCC8EF1">
          <w:pPr>
            <w:pStyle w:val="Header"/>
            <w:ind w:left="-115"/>
          </w:pPr>
        </w:p>
      </w:tc>
      <w:tc>
        <w:tcPr>
          <w:tcW w:w="2880" w:type="dxa"/>
        </w:tcPr>
        <w:p w:rsidR="1C6E1535" w:rsidP="1C6E1535" w:rsidRDefault="1C6E1535" w14:paraId="7747C9CB" w14:textId="0545EB37">
          <w:pPr>
            <w:pStyle w:val="Header"/>
            <w:jc w:val="center"/>
          </w:pPr>
        </w:p>
      </w:tc>
      <w:tc>
        <w:tcPr>
          <w:tcW w:w="2880" w:type="dxa"/>
        </w:tcPr>
        <w:p w:rsidR="1C6E1535" w:rsidP="1C6E1535" w:rsidRDefault="1C6E1535" w14:paraId="55739809" w14:textId="1B6BF935">
          <w:pPr>
            <w:pStyle w:val="Header"/>
            <w:ind w:right="-115"/>
            <w:jc w:val="right"/>
          </w:pPr>
        </w:p>
      </w:tc>
    </w:tr>
  </w:tbl>
  <w:p w:rsidR="1C6E1535" w:rsidP="1C6E1535" w:rsidRDefault="1C6E1535" w14:paraId="33DC7B6C" w14:textId="31B714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6674" w:rsidP="00A95B04" w:rsidRDefault="008E6674" w14:paraId="28989928" w14:textId="77777777">
      <w:pPr>
        <w:spacing w:after="0" w:line="240" w:lineRule="auto"/>
      </w:pPr>
      <w:r>
        <w:separator/>
      </w:r>
    </w:p>
  </w:footnote>
  <w:footnote w:type="continuationSeparator" w:id="0">
    <w:p w:rsidR="008E6674" w:rsidP="00A95B04" w:rsidRDefault="008E6674" w14:paraId="677344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95B04" w:rsidRDefault="00A95B04" w14:paraId="41D487FC" w14:textId="5F81EE81">
    <w:pPr>
      <w:pStyle w:val="Header"/>
    </w:pPr>
    <w:r w:rsidRPr="00A95B04">
      <w:rPr>
        <w:noProof/>
      </w:rPr>
      <w:drawing>
        <wp:inline distT="0" distB="0" distL="0" distR="0" wp14:anchorId="6E689F80" wp14:editId="3DC23BEE">
          <wp:extent cx="5486400" cy="755650"/>
          <wp:effectExtent l="0" t="0" r="0" b="6350"/>
          <wp:docPr id="403330706" name="Obraz 2" descr="Obraz 1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1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5B04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093B4285"/>
    <w:multiLevelType w:val="multilevel"/>
    <w:tmpl w:val="7946E9B0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3460927"/>
    <w:multiLevelType w:val="multilevel"/>
    <w:tmpl w:val="9DDEB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6E7E89"/>
    <w:multiLevelType w:val="hybridMultilevel"/>
    <w:tmpl w:val="1660E4CE"/>
    <w:lvl w:ilvl="0" w:tplc="59CC79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78A3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7C0C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C4D4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E4E9C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DCC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CCCF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A4CF6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F825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5106E4"/>
    <w:multiLevelType w:val="multilevel"/>
    <w:tmpl w:val="0FEE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3BC25D2"/>
    <w:multiLevelType w:val="hybridMultilevel"/>
    <w:tmpl w:val="A48AE23E"/>
    <w:lvl w:ilvl="0" w:tplc="162020A6">
      <w:start w:val="1"/>
      <w:numFmt w:val="lowerLetter"/>
      <w:lvlText w:val="%1."/>
      <w:lvlJc w:val="left"/>
      <w:pPr>
        <w:ind w:left="720" w:hanging="360"/>
      </w:pPr>
    </w:lvl>
    <w:lvl w:ilvl="1" w:tplc="09EABD34">
      <w:start w:val="1"/>
      <w:numFmt w:val="lowerLetter"/>
      <w:lvlText w:val="%2."/>
      <w:lvlJc w:val="left"/>
      <w:pPr>
        <w:ind w:left="1440" w:hanging="360"/>
      </w:pPr>
    </w:lvl>
    <w:lvl w:ilvl="2" w:tplc="078CD716">
      <w:start w:val="1"/>
      <w:numFmt w:val="lowerRoman"/>
      <w:lvlText w:val="%3."/>
      <w:lvlJc w:val="right"/>
      <w:pPr>
        <w:ind w:left="2160" w:hanging="180"/>
      </w:pPr>
    </w:lvl>
    <w:lvl w:ilvl="3" w:tplc="29C4A3EE">
      <w:start w:val="1"/>
      <w:numFmt w:val="decimal"/>
      <w:lvlText w:val="%4."/>
      <w:lvlJc w:val="left"/>
      <w:pPr>
        <w:ind w:left="2880" w:hanging="360"/>
      </w:pPr>
    </w:lvl>
    <w:lvl w:ilvl="4" w:tplc="53623FA6">
      <w:start w:val="1"/>
      <w:numFmt w:val="lowerLetter"/>
      <w:lvlText w:val="%5."/>
      <w:lvlJc w:val="left"/>
      <w:pPr>
        <w:ind w:left="3600" w:hanging="360"/>
      </w:pPr>
    </w:lvl>
    <w:lvl w:ilvl="5" w:tplc="2AF09830">
      <w:start w:val="1"/>
      <w:numFmt w:val="lowerRoman"/>
      <w:lvlText w:val="%6."/>
      <w:lvlJc w:val="right"/>
      <w:pPr>
        <w:ind w:left="4320" w:hanging="180"/>
      </w:pPr>
    </w:lvl>
    <w:lvl w:ilvl="6" w:tplc="D9A422A6">
      <w:start w:val="1"/>
      <w:numFmt w:val="decimal"/>
      <w:lvlText w:val="%7."/>
      <w:lvlJc w:val="left"/>
      <w:pPr>
        <w:ind w:left="5040" w:hanging="360"/>
      </w:pPr>
    </w:lvl>
    <w:lvl w:ilvl="7" w:tplc="C0562A10">
      <w:start w:val="1"/>
      <w:numFmt w:val="lowerLetter"/>
      <w:lvlText w:val="%8."/>
      <w:lvlJc w:val="left"/>
      <w:pPr>
        <w:ind w:left="5760" w:hanging="360"/>
      </w:pPr>
    </w:lvl>
    <w:lvl w:ilvl="8" w:tplc="FBBE6AC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1BBA5"/>
    <w:multiLevelType w:val="hybridMultilevel"/>
    <w:tmpl w:val="4C20E830"/>
    <w:lvl w:ilvl="0" w:tplc="2A80F41C">
      <w:start w:val="1"/>
      <w:numFmt w:val="lowerLetter"/>
      <w:lvlText w:val="o)"/>
      <w:lvlJc w:val="left"/>
      <w:pPr>
        <w:ind w:left="720" w:hanging="360"/>
      </w:pPr>
    </w:lvl>
    <w:lvl w:ilvl="1" w:tplc="66BCCEA0">
      <w:start w:val="1"/>
      <w:numFmt w:val="lowerLetter"/>
      <w:lvlText w:val="%2."/>
      <w:lvlJc w:val="left"/>
      <w:pPr>
        <w:ind w:left="1440" w:hanging="360"/>
      </w:pPr>
    </w:lvl>
    <w:lvl w:ilvl="2" w:tplc="583088EE">
      <w:start w:val="1"/>
      <w:numFmt w:val="lowerRoman"/>
      <w:lvlText w:val="%3."/>
      <w:lvlJc w:val="right"/>
      <w:pPr>
        <w:ind w:left="2160" w:hanging="180"/>
      </w:pPr>
    </w:lvl>
    <w:lvl w:ilvl="3" w:tplc="8CD2FDC6">
      <w:start w:val="1"/>
      <w:numFmt w:val="decimal"/>
      <w:lvlText w:val="%4."/>
      <w:lvlJc w:val="left"/>
      <w:pPr>
        <w:ind w:left="2880" w:hanging="360"/>
      </w:pPr>
    </w:lvl>
    <w:lvl w:ilvl="4" w:tplc="3438A678">
      <w:start w:val="1"/>
      <w:numFmt w:val="lowerLetter"/>
      <w:lvlText w:val="%5."/>
      <w:lvlJc w:val="left"/>
      <w:pPr>
        <w:ind w:left="3600" w:hanging="360"/>
      </w:pPr>
    </w:lvl>
    <w:lvl w:ilvl="5" w:tplc="CF407732">
      <w:start w:val="1"/>
      <w:numFmt w:val="lowerRoman"/>
      <w:lvlText w:val="%6."/>
      <w:lvlJc w:val="right"/>
      <w:pPr>
        <w:ind w:left="4320" w:hanging="180"/>
      </w:pPr>
    </w:lvl>
    <w:lvl w:ilvl="6" w:tplc="291EAAEC">
      <w:start w:val="1"/>
      <w:numFmt w:val="decimal"/>
      <w:lvlText w:val="%7."/>
      <w:lvlJc w:val="left"/>
      <w:pPr>
        <w:ind w:left="5040" w:hanging="360"/>
      </w:pPr>
    </w:lvl>
    <w:lvl w:ilvl="7" w:tplc="D17CF778">
      <w:start w:val="1"/>
      <w:numFmt w:val="lowerLetter"/>
      <w:lvlText w:val="%8."/>
      <w:lvlJc w:val="left"/>
      <w:pPr>
        <w:ind w:left="5760" w:hanging="360"/>
      </w:pPr>
    </w:lvl>
    <w:lvl w:ilvl="8" w:tplc="384C3C2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521DB"/>
    <w:multiLevelType w:val="multilevel"/>
    <w:tmpl w:val="08C613A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2EA6552"/>
    <w:multiLevelType w:val="multilevel"/>
    <w:tmpl w:val="8C426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B07729"/>
    <w:multiLevelType w:val="hybridMultilevel"/>
    <w:tmpl w:val="AC12C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628FD"/>
    <w:multiLevelType w:val="multilevel"/>
    <w:tmpl w:val="5E16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4BEB315A"/>
    <w:multiLevelType w:val="hybridMultilevel"/>
    <w:tmpl w:val="EA0EA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4CE2DF4"/>
    <w:multiLevelType w:val="multilevel"/>
    <w:tmpl w:val="6E0A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82851F5"/>
    <w:multiLevelType w:val="hybridMultilevel"/>
    <w:tmpl w:val="2FC29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4569B"/>
    <w:multiLevelType w:val="hybridMultilevel"/>
    <w:tmpl w:val="AEEAB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C2BEC"/>
    <w:multiLevelType w:val="multilevel"/>
    <w:tmpl w:val="4D28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25939387">
    <w:abstractNumId w:val="13"/>
  </w:num>
  <w:num w:numId="2" w16cid:durableId="1865441122">
    <w:abstractNumId w:val="14"/>
  </w:num>
  <w:num w:numId="3" w16cid:durableId="685908762">
    <w:abstractNumId w:val="11"/>
  </w:num>
  <w:num w:numId="4" w16cid:durableId="179778147">
    <w:abstractNumId w:val="8"/>
  </w:num>
  <w:num w:numId="5" w16cid:durableId="2025471489">
    <w:abstractNumId w:val="6"/>
  </w:num>
  <w:num w:numId="6" w16cid:durableId="1044211132">
    <w:abstractNumId w:val="5"/>
  </w:num>
  <w:num w:numId="7" w16cid:durableId="740565652">
    <w:abstractNumId w:val="4"/>
  </w:num>
  <w:num w:numId="8" w16cid:durableId="1461997361">
    <w:abstractNumId w:val="7"/>
  </w:num>
  <w:num w:numId="9" w16cid:durableId="2081826043">
    <w:abstractNumId w:val="3"/>
  </w:num>
  <w:num w:numId="10" w16cid:durableId="1848521201">
    <w:abstractNumId w:val="2"/>
  </w:num>
  <w:num w:numId="11" w16cid:durableId="954486917">
    <w:abstractNumId w:val="1"/>
  </w:num>
  <w:num w:numId="12" w16cid:durableId="1268195055">
    <w:abstractNumId w:val="0"/>
  </w:num>
  <w:num w:numId="13" w16cid:durableId="530266899">
    <w:abstractNumId w:val="16"/>
  </w:num>
  <w:num w:numId="14" w16cid:durableId="2903995">
    <w:abstractNumId w:val="8"/>
  </w:num>
  <w:num w:numId="15" w16cid:durableId="355231471">
    <w:abstractNumId w:val="8"/>
  </w:num>
  <w:num w:numId="16" w16cid:durableId="1916431305">
    <w:abstractNumId w:val="20"/>
  </w:num>
  <w:num w:numId="17" w16cid:durableId="1592277474">
    <w:abstractNumId w:val="9"/>
  </w:num>
  <w:num w:numId="18" w16cid:durableId="547684430">
    <w:abstractNumId w:val="10"/>
  </w:num>
  <w:num w:numId="19" w16cid:durableId="1376352590">
    <w:abstractNumId w:val="8"/>
  </w:num>
  <w:num w:numId="20" w16cid:durableId="1286889936">
    <w:abstractNumId w:val="23"/>
  </w:num>
  <w:num w:numId="21" w16cid:durableId="333461477">
    <w:abstractNumId w:val="8"/>
  </w:num>
  <w:num w:numId="22" w16cid:durableId="774400426">
    <w:abstractNumId w:val="18"/>
  </w:num>
  <w:num w:numId="23" w16cid:durableId="924265179">
    <w:abstractNumId w:val="8"/>
  </w:num>
  <w:num w:numId="24" w16cid:durableId="1824615173">
    <w:abstractNumId w:val="12"/>
  </w:num>
  <w:num w:numId="25" w16cid:durableId="2075351276">
    <w:abstractNumId w:val="15"/>
  </w:num>
  <w:num w:numId="26" w16cid:durableId="2020740184">
    <w:abstractNumId w:val="19"/>
  </w:num>
  <w:num w:numId="27" w16cid:durableId="258177873">
    <w:abstractNumId w:val="21"/>
  </w:num>
  <w:num w:numId="28" w16cid:durableId="968777375">
    <w:abstractNumId w:val="17"/>
  </w:num>
  <w:num w:numId="29" w16cid:durableId="1487088834">
    <w:abstractNumId w:val="2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064"/>
    <w:rsid w:val="00010B0E"/>
    <w:rsid w:val="00013322"/>
    <w:rsid w:val="0001334C"/>
    <w:rsid w:val="00013BD7"/>
    <w:rsid w:val="00017C27"/>
    <w:rsid w:val="00032125"/>
    <w:rsid w:val="00034616"/>
    <w:rsid w:val="000402A6"/>
    <w:rsid w:val="0006063C"/>
    <w:rsid w:val="0006702A"/>
    <w:rsid w:val="0007453E"/>
    <w:rsid w:val="000928DF"/>
    <w:rsid w:val="00092E9E"/>
    <w:rsid w:val="00092F41"/>
    <w:rsid w:val="000940E3"/>
    <w:rsid w:val="000A6905"/>
    <w:rsid w:val="000B45CE"/>
    <w:rsid w:val="000C1744"/>
    <w:rsid w:val="000C1CED"/>
    <w:rsid w:val="000D2589"/>
    <w:rsid w:val="000D3620"/>
    <w:rsid w:val="000D70DB"/>
    <w:rsid w:val="000D7117"/>
    <w:rsid w:val="000E118E"/>
    <w:rsid w:val="000E17A9"/>
    <w:rsid w:val="000E4320"/>
    <w:rsid w:val="000F4337"/>
    <w:rsid w:val="001032E5"/>
    <w:rsid w:val="001045C4"/>
    <w:rsid w:val="00111828"/>
    <w:rsid w:val="00113674"/>
    <w:rsid w:val="00121731"/>
    <w:rsid w:val="00124A8D"/>
    <w:rsid w:val="00124B6A"/>
    <w:rsid w:val="0012760A"/>
    <w:rsid w:val="00130040"/>
    <w:rsid w:val="0013280C"/>
    <w:rsid w:val="00132DDB"/>
    <w:rsid w:val="00142CAB"/>
    <w:rsid w:val="0015074B"/>
    <w:rsid w:val="00151F57"/>
    <w:rsid w:val="00155A14"/>
    <w:rsid w:val="0015653D"/>
    <w:rsid w:val="00163792"/>
    <w:rsid w:val="001750DD"/>
    <w:rsid w:val="00183C1E"/>
    <w:rsid w:val="00190AF7"/>
    <w:rsid w:val="001A1D58"/>
    <w:rsid w:val="001A2016"/>
    <w:rsid w:val="001A3B6F"/>
    <w:rsid w:val="001A3C1F"/>
    <w:rsid w:val="001A4321"/>
    <w:rsid w:val="001D09D0"/>
    <w:rsid w:val="001D4F97"/>
    <w:rsid w:val="001D6092"/>
    <w:rsid w:val="001E6445"/>
    <w:rsid w:val="00202102"/>
    <w:rsid w:val="00205D9E"/>
    <w:rsid w:val="00205FAB"/>
    <w:rsid w:val="002112A7"/>
    <w:rsid w:val="002125A0"/>
    <w:rsid w:val="002169E1"/>
    <w:rsid w:val="00221847"/>
    <w:rsid w:val="0023041A"/>
    <w:rsid w:val="00235888"/>
    <w:rsid w:val="002358D4"/>
    <w:rsid w:val="00263678"/>
    <w:rsid w:val="00273344"/>
    <w:rsid w:val="00277B7D"/>
    <w:rsid w:val="00291519"/>
    <w:rsid w:val="002933FF"/>
    <w:rsid w:val="002948B6"/>
    <w:rsid w:val="0029639D"/>
    <w:rsid w:val="002B584D"/>
    <w:rsid w:val="002B6E71"/>
    <w:rsid w:val="002C0EC7"/>
    <w:rsid w:val="002C67A5"/>
    <w:rsid w:val="002D2B4F"/>
    <w:rsid w:val="002E125A"/>
    <w:rsid w:val="002E74B2"/>
    <w:rsid w:val="003018CC"/>
    <w:rsid w:val="003132C6"/>
    <w:rsid w:val="00326F90"/>
    <w:rsid w:val="003337A2"/>
    <w:rsid w:val="00335F5D"/>
    <w:rsid w:val="003411CC"/>
    <w:rsid w:val="00344ED4"/>
    <w:rsid w:val="0034701B"/>
    <w:rsid w:val="00351D68"/>
    <w:rsid w:val="0035214C"/>
    <w:rsid w:val="003622BF"/>
    <w:rsid w:val="003642B5"/>
    <w:rsid w:val="00374849"/>
    <w:rsid w:val="00377670"/>
    <w:rsid w:val="00387147"/>
    <w:rsid w:val="0039283C"/>
    <w:rsid w:val="0039321A"/>
    <w:rsid w:val="003B0A2B"/>
    <w:rsid w:val="003B5F3F"/>
    <w:rsid w:val="003C01F3"/>
    <w:rsid w:val="003C1C7B"/>
    <w:rsid w:val="003E5AC2"/>
    <w:rsid w:val="003E64A5"/>
    <w:rsid w:val="003E7A90"/>
    <w:rsid w:val="003F00BA"/>
    <w:rsid w:val="003F4E2A"/>
    <w:rsid w:val="003F5CAF"/>
    <w:rsid w:val="003F6945"/>
    <w:rsid w:val="0040030D"/>
    <w:rsid w:val="00413EEF"/>
    <w:rsid w:val="00440A77"/>
    <w:rsid w:val="00447CAB"/>
    <w:rsid w:val="00467BBA"/>
    <w:rsid w:val="00475497"/>
    <w:rsid w:val="00477B45"/>
    <w:rsid w:val="004A2C89"/>
    <w:rsid w:val="004A3A4E"/>
    <w:rsid w:val="004B082B"/>
    <w:rsid w:val="004B1609"/>
    <w:rsid w:val="004B3E76"/>
    <w:rsid w:val="004B43ED"/>
    <w:rsid w:val="004B5992"/>
    <w:rsid w:val="004C023C"/>
    <w:rsid w:val="004C4CCE"/>
    <w:rsid w:val="004D2F04"/>
    <w:rsid w:val="004D3290"/>
    <w:rsid w:val="004D419C"/>
    <w:rsid w:val="004F0FC9"/>
    <w:rsid w:val="004F1BA9"/>
    <w:rsid w:val="00523FA6"/>
    <w:rsid w:val="00547749"/>
    <w:rsid w:val="00555408"/>
    <w:rsid w:val="00560535"/>
    <w:rsid w:val="00575ED5"/>
    <w:rsid w:val="00577975"/>
    <w:rsid w:val="005835AB"/>
    <w:rsid w:val="00587FAD"/>
    <w:rsid w:val="00590FFA"/>
    <w:rsid w:val="0059207E"/>
    <w:rsid w:val="00592E69"/>
    <w:rsid w:val="00595C21"/>
    <w:rsid w:val="00596107"/>
    <w:rsid w:val="005A0791"/>
    <w:rsid w:val="005A6D32"/>
    <w:rsid w:val="005A71BA"/>
    <w:rsid w:val="005A7DB7"/>
    <w:rsid w:val="005C1741"/>
    <w:rsid w:val="005C5670"/>
    <w:rsid w:val="005E1EDA"/>
    <w:rsid w:val="005E3C38"/>
    <w:rsid w:val="005F0490"/>
    <w:rsid w:val="005F1054"/>
    <w:rsid w:val="005F5EE7"/>
    <w:rsid w:val="00601F6B"/>
    <w:rsid w:val="006038BC"/>
    <w:rsid w:val="006104E5"/>
    <w:rsid w:val="00611143"/>
    <w:rsid w:val="006129A1"/>
    <w:rsid w:val="00614220"/>
    <w:rsid w:val="006302E5"/>
    <w:rsid w:val="00642A78"/>
    <w:rsid w:val="00653EB2"/>
    <w:rsid w:val="0068462D"/>
    <w:rsid w:val="00690C4F"/>
    <w:rsid w:val="006963C2"/>
    <w:rsid w:val="006A36D2"/>
    <w:rsid w:val="006B4535"/>
    <w:rsid w:val="006B45F3"/>
    <w:rsid w:val="006B7E97"/>
    <w:rsid w:val="006C5FAA"/>
    <w:rsid w:val="006D268F"/>
    <w:rsid w:val="006D39A9"/>
    <w:rsid w:val="006E46C1"/>
    <w:rsid w:val="006F2A94"/>
    <w:rsid w:val="006F5931"/>
    <w:rsid w:val="006F76FE"/>
    <w:rsid w:val="007016BD"/>
    <w:rsid w:val="00702F35"/>
    <w:rsid w:val="007065C0"/>
    <w:rsid w:val="00706E97"/>
    <w:rsid w:val="007106B3"/>
    <w:rsid w:val="00710D97"/>
    <w:rsid w:val="007134B6"/>
    <w:rsid w:val="007179E6"/>
    <w:rsid w:val="0072165B"/>
    <w:rsid w:val="00736FE1"/>
    <w:rsid w:val="00737EC7"/>
    <w:rsid w:val="00741628"/>
    <w:rsid w:val="0075572A"/>
    <w:rsid w:val="00763C40"/>
    <w:rsid w:val="0078498B"/>
    <w:rsid w:val="0078703A"/>
    <w:rsid w:val="0079030F"/>
    <w:rsid w:val="00791209"/>
    <w:rsid w:val="007A2147"/>
    <w:rsid w:val="007B798B"/>
    <w:rsid w:val="007C191B"/>
    <w:rsid w:val="007C19BD"/>
    <w:rsid w:val="007C3AAB"/>
    <w:rsid w:val="007D673D"/>
    <w:rsid w:val="007D7331"/>
    <w:rsid w:val="007E0F2B"/>
    <w:rsid w:val="007E54F2"/>
    <w:rsid w:val="007F21B9"/>
    <w:rsid w:val="007F2917"/>
    <w:rsid w:val="008044C2"/>
    <w:rsid w:val="008105D5"/>
    <w:rsid w:val="00812CC2"/>
    <w:rsid w:val="00812F2C"/>
    <w:rsid w:val="008137E1"/>
    <w:rsid w:val="008200B5"/>
    <w:rsid w:val="008239A9"/>
    <w:rsid w:val="0082729C"/>
    <w:rsid w:val="008309AB"/>
    <w:rsid w:val="00833BDD"/>
    <w:rsid w:val="00840FA6"/>
    <w:rsid w:val="008439DE"/>
    <w:rsid w:val="00843E32"/>
    <w:rsid w:val="00846A2F"/>
    <w:rsid w:val="008504F0"/>
    <w:rsid w:val="00857B92"/>
    <w:rsid w:val="0087074A"/>
    <w:rsid w:val="0087345E"/>
    <w:rsid w:val="00895E0C"/>
    <w:rsid w:val="008965FA"/>
    <w:rsid w:val="008A1CD7"/>
    <w:rsid w:val="008B3F50"/>
    <w:rsid w:val="008B6AD3"/>
    <w:rsid w:val="008C3FCB"/>
    <w:rsid w:val="008C6703"/>
    <w:rsid w:val="008D76B9"/>
    <w:rsid w:val="008E2940"/>
    <w:rsid w:val="008E6674"/>
    <w:rsid w:val="008F246D"/>
    <w:rsid w:val="00903D30"/>
    <w:rsid w:val="0090625F"/>
    <w:rsid w:val="00906EC8"/>
    <w:rsid w:val="0091201C"/>
    <w:rsid w:val="00927DF3"/>
    <w:rsid w:val="00932941"/>
    <w:rsid w:val="009549BB"/>
    <w:rsid w:val="00955569"/>
    <w:rsid w:val="00960CB2"/>
    <w:rsid w:val="00970502"/>
    <w:rsid w:val="0097672F"/>
    <w:rsid w:val="009817F4"/>
    <w:rsid w:val="00981B73"/>
    <w:rsid w:val="00983347"/>
    <w:rsid w:val="009A73D5"/>
    <w:rsid w:val="009C0A3C"/>
    <w:rsid w:val="009C3454"/>
    <w:rsid w:val="009C3EF1"/>
    <w:rsid w:val="009D09A0"/>
    <w:rsid w:val="009D1922"/>
    <w:rsid w:val="00A000DF"/>
    <w:rsid w:val="00A0328D"/>
    <w:rsid w:val="00A038D4"/>
    <w:rsid w:val="00A107CE"/>
    <w:rsid w:val="00A22777"/>
    <w:rsid w:val="00A26037"/>
    <w:rsid w:val="00A41982"/>
    <w:rsid w:val="00A42C37"/>
    <w:rsid w:val="00A50740"/>
    <w:rsid w:val="00A55948"/>
    <w:rsid w:val="00A572A9"/>
    <w:rsid w:val="00A62524"/>
    <w:rsid w:val="00A73A6F"/>
    <w:rsid w:val="00A92BF6"/>
    <w:rsid w:val="00A9534A"/>
    <w:rsid w:val="00A959CD"/>
    <w:rsid w:val="00A95B04"/>
    <w:rsid w:val="00A965E0"/>
    <w:rsid w:val="00A974E9"/>
    <w:rsid w:val="00AA1D8D"/>
    <w:rsid w:val="00AB195F"/>
    <w:rsid w:val="00AC1087"/>
    <w:rsid w:val="00AC2DD7"/>
    <w:rsid w:val="00AC7377"/>
    <w:rsid w:val="00AD2948"/>
    <w:rsid w:val="00AD653F"/>
    <w:rsid w:val="00AD68F5"/>
    <w:rsid w:val="00AF1978"/>
    <w:rsid w:val="00AF3E2E"/>
    <w:rsid w:val="00B00ABA"/>
    <w:rsid w:val="00B12B53"/>
    <w:rsid w:val="00B2131E"/>
    <w:rsid w:val="00B22502"/>
    <w:rsid w:val="00B2285A"/>
    <w:rsid w:val="00B4696B"/>
    <w:rsid w:val="00B47730"/>
    <w:rsid w:val="00B5649A"/>
    <w:rsid w:val="00B70EE3"/>
    <w:rsid w:val="00B72245"/>
    <w:rsid w:val="00B978AA"/>
    <w:rsid w:val="00BA317F"/>
    <w:rsid w:val="00BB5F43"/>
    <w:rsid w:val="00BC218E"/>
    <w:rsid w:val="00BC468E"/>
    <w:rsid w:val="00BD2C89"/>
    <w:rsid w:val="00BD3677"/>
    <w:rsid w:val="00BD4BA2"/>
    <w:rsid w:val="00BD4EFD"/>
    <w:rsid w:val="00BE0D5F"/>
    <w:rsid w:val="00BE3418"/>
    <w:rsid w:val="00BE3C69"/>
    <w:rsid w:val="00BF049E"/>
    <w:rsid w:val="00C000F8"/>
    <w:rsid w:val="00C0328E"/>
    <w:rsid w:val="00C053C7"/>
    <w:rsid w:val="00C144FF"/>
    <w:rsid w:val="00C20181"/>
    <w:rsid w:val="00C22054"/>
    <w:rsid w:val="00C24A62"/>
    <w:rsid w:val="00C251A8"/>
    <w:rsid w:val="00C32272"/>
    <w:rsid w:val="00C35071"/>
    <w:rsid w:val="00C35154"/>
    <w:rsid w:val="00C37EB9"/>
    <w:rsid w:val="00C46542"/>
    <w:rsid w:val="00C549A0"/>
    <w:rsid w:val="00C800FF"/>
    <w:rsid w:val="00C83926"/>
    <w:rsid w:val="00C85E82"/>
    <w:rsid w:val="00C90FAF"/>
    <w:rsid w:val="00CB0664"/>
    <w:rsid w:val="00CC5719"/>
    <w:rsid w:val="00CD0970"/>
    <w:rsid w:val="00CD13D9"/>
    <w:rsid w:val="00CE21CD"/>
    <w:rsid w:val="00CF129E"/>
    <w:rsid w:val="00D06230"/>
    <w:rsid w:val="00D07710"/>
    <w:rsid w:val="00D11610"/>
    <w:rsid w:val="00D16B29"/>
    <w:rsid w:val="00D20386"/>
    <w:rsid w:val="00D30AA0"/>
    <w:rsid w:val="00D31722"/>
    <w:rsid w:val="00D36DAF"/>
    <w:rsid w:val="00D472A2"/>
    <w:rsid w:val="00D47822"/>
    <w:rsid w:val="00D7234A"/>
    <w:rsid w:val="00D7559E"/>
    <w:rsid w:val="00D97526"/>
    <w:rsid w:val="00DA0505"/>
    <w:rsid w:val="00DA3BFE"/>
    <w:rsid w:val="00DA42C4"/>
    <w:rsid w:val="00DB01A0"/>
    <w:rsid w:val="00DB3E21"/>
    <w:rsid w:val="00DC1B41"/>
    <w:rsid w:val="00DE6409"/>
    <w:rsid w:val="00DE693A"/>
    <w:rsid w:val="00DE6F4C"/>
    <w:rsid w:val="00DF3467"/>
    <w:rsid w:val="00DF4CB7"/>
    <w:rsid w:val="00DF501B"/>
    <w:rsid w:val="00DF6AC8"/>
    <w:rsid w:val="00E02AB5"/>
    <w:rsid w:val="00E13761"/>
    <w:rsid w:val="00E14121"/>
    <w:rsid w:val="00E24423"/>
    <w:rsid w:val="00E2584E"/>
    <w:rsid w:val="00E30693"/>
    <w:rsid w:val="00E30C15"/>
    <w:rsid w:val="00E30F70"/>
    <w:rsid w:val="00E35357"/>
    <w:rsid w:val="00E36BC4"/>
    <w:rsid w:val="00E45222"/>
    <w:rsid w:val="00E55FE7"/>
    <w:rsid w:val="00E56ABC"/>
    <w:rsid w:val="00E73B18"/>
    <w:rsid w:val="00E76866"/>
    <w:rsid w:val="00E77D4A"/>
    <w:rsid w:val="00E956D1"/>
    <w:rsid w:val="00EA062C"/>
    <w:rsid w:val="00EA6665"/>
    <w:rsid w:val="00EA79C7"/>
    <w:rsid w:val="00EB42E9"/>
    <w:rsid w:val="00EB4D7D"/>
    <w:rsid w:val="00EC2D9B"/>
    <w:rsid w:val="00EC56F7"/>
    <w:rsid w:val="00ED32D8"/>
    <w:rsid w:val="00ED3606"/>
    <w:rsid w:val="00EE43A6"/>
    <w:rsid w:val="00F039B5"/>
    <w:rsid w:val="00F0449A"/>
    <w:rsid w:val="00F04974"/>
    <w:rsid w:val="00F11264"/>
    <w:rsid w:val="00F11AB5"/>
    <w:rsid w:val="00F20039"/>
    <w:rsid w:val="00F33A0F"/>
    <w:rsid w:val="00F35DF3"/>
    <w:rsid w:val="00F36750"/>
    <w:rsid w:val="00F445D8"/>
    <w:rsid w:val="00F45416"/>
    <w:rsid w:val="00F55FF4"/>
    <w:rsid w:val="00F75F3C"/>
    <w:rsid w:val="00F76C04"/>
    <w:rsid w:val="00F7710D"/>
    <w:rsid w:val="00F77A78"/>
    <w:rsid w:val="00F80737"/>
    <w:rsid w:val="00F85B1B"/>
    <w:rsid w:val="00F93CEE"/>
    <w:rsid w:val="00FA404D"/>
    <w:rsid w:val="00FA4528"/>
    <w:rsid w:val="00FB2B9D"/>
    <w:rsid w:val="00FC26D3"/>
    <w:rsid w:val="00FC33A2"/>
    <w:rsid w:val="00FC4B41"/>
    <w:rsid w:val="00FC693F"/>
    <w:rsid w:val="00FC6988"/>
    <w:rsid w:val="00FE34AD"/>
    <w:rsid w:val="00FF2B1F"/>
    <w:rsid w:val="01D301BA"/>
    <w:rsid w:val="023DD333"/>
    <w:rsid w:val="02A7E701"/>
    <w:rsid w:val="02E4EA1E"/>
    <w:rsid w:val="0392BFEA"/>
    <w:rsid w:val="03ECA3BB"/>
    <w:rsid w:val="0407CEEB"/>
    <w:rsid w:val="0443F515"/>
    <w:rsid w:val="0461AF21"/>
    <w:rsid w:val="0473AAD2"/>
    <w:rsid w:val="04B8F11F"/>
    <w:rsid w:val="053493A8"/>
    <w:rsid w:val="053E4CDE"/>
    <w:rsid w:val="0588574B"/>
    <w:rsid w:val="064B4177"/>
    <w:rsid w:val="06794139"/>
    <w:rsid w:val="068DDCB5"/>
    <w:rsid w:val="06C26B0D"/>
    <w:rsid w:val="07C861A5"/>
    <w:rsid w:val="081EB839"/>
    <w:rsid w:val="08C5206E"/>
    <w:rsid w:val="09021261"/>
    <w:rsid w:val="0911702D"/>
    <w:rsid w:val="0928507C"/>
    <w:rsid w:val="09446991"/>
    <w:rsid w:val="0B4E5ED4"/>
    <w:rsid w:val="0B53EF93"/>
    <w:rsid w:val="0BDD0661"/>
    <w:rsid w:val="0BF58275"/>
    <w:rsid w:val="0C16F7C1"/>
    <w:rsid w:val="0C945B0E"/>
    <w:rsid w:val="0D3AAAFE"/>
    <w:rsid w:val="0D67B255"/>
    <w:rsid w:val="0D81A1CC"/>
    <w:rsid w:val="0D944CA0"/>
    <w:rsid w:val="0E7DBF6F"/>
    <w:rsid w:val="0F38A968"/>
    <w:rsid w:val="0F3A2348"/>
    <w:rsid w:val="0F57E968"/>
    <w:rsid w:val="0F70AE15"/>
    <w:rsid w:val="10C30BA1"/>
    <w:rsid w:val="1178FB78"/>
    <w:rsid w:val="1200C436"/>
    <w:rsid w:val="12AE98A3"/>
    <w:rsid w:val="13E8F25E"/>
    <w:rsid w:val="13F3B642"/>
    <w:rsid w:val="14CA9EDD"/>
    <w:rsid w:val="14E0A201"/>
    <w:rsid w:val="15303178"/>
    <w:rsid w:val="157A3EF3"/>
    <w:rsid w:val="159E07E3"/>
    <w:rsid w:val="15E54932"/>
    <w:rsid w:val="171C4454"/>
    <w:rsid w:val="19694F84"/>
    <w:rsid w:val="197F377B"/>
    <w:rsid w:val="199C17F3"/>
    <w:rsid w:val="19E28C3D"/>
    <w:rsid w:val="1ADBE43E"/>
    <w:rsid w:val="1B0CCDB8"/>
    <w:rsid w:val="1BC4CF4F"/>
    <w:rsid w:val="1C50B8C8"/>
    <w:rsid w:val="1C57ED91"/>
    <w:rsid w:val="1C6E1535"/>
    <w:rsid w:val="1D059729"/>
    <w:rsid w:val="1D42EFFE"/>
    <w:rsid w:val="1D4B504B"/>
    <w:rsid w:val="1E04B4B4"/>
    <w:rsid w:val="1E54A5AE"/>
    <w:rsid w:val="1EB57F12"/>
    <w:rsid w:val="1EDE2E2C"/>
    <w:rsid w:val="1FA1FD81"/>
    <w:rsid w:val="1FEC180A"/>
    <w:rsid w:val="202B4A6C"/>
    <w:rsid w:val="209CF1AA"/>
    <w:rsid w:val="2145E824"/>
    <w:rsid w:val="2216F398"/>
    <w:rsid w:val="2224D049"/>
    <w:rsid w:val="224DEF1B"/>
    <w:rsid w:val="22EC892E"/>
    <w:rsid w:val="23F21F8C"/>
    <w:rsid w:val="24251172"/>
    <w:rsid w:val="25375FB7"/>
    <w:rsid w:val="2542DE25"/>
    <w:rsid w:val="2599D043"/>
    <w:rsid w:val="2628426D"/>
    <w:rsid w:val="2648100C"/>
    <w:rsid w:val="267DEEA7"/>
    <w:rsid w:val="274716ED"/>
    <w:rsid w:val="274EFFD3"/>
    <w:rsid w:val="2760386C"/>
    <w:rsid w:val="27A63696"/>
    <w:rsid w:val="27BF758C"/>
    <w:rsid w:val="295558D5"/>
    <w:rsid w:val="29C733B1"/>
    <w:rsid w:val="2AF87EEC"/>
    <w:rsid w:val="2B27FD26"/>
    <w:rsid w:val="2B4425F6"/>
    <w:rsid w:val="2B49582F"/>
    <w:rsid w:val="2BA5BD54"/>
    <w:rsid w:val="2BD9DCFB"/>
    <w:rsid w:val="2BF02E6A"/>
    <w:rsid w:val="2C4D0A57"/>
    <w:rsid w:val="2C7D2C54"/>
    <w:rsid w:val="2D394177"/>
    <w:rsid w:val="2DA483FF"/>
    <w:rsid w:val="2DB48FBA"/>
    <w:rsid w:val="2DDCE46F"/>
    <w:rsid w:val="2E2ECEA7"/>
    <w:rsid w:val="2E743A2E"/>
    <w:rsid w:val="2FA20AA6"/>
    <w:rsid w:val="327B47E6"/>
    <w:rsid w:val="32E33B8C"/>
    <w:rsid w:val="332FCC87"/>
    <w:rsid w:val="34219673"/>
    <w:rsid w:val="34959922"/>
    <w:rsid w:val="34CFE390"/>
    <w:rsid w:val="36485158"/>
    <w:rsid w:val="36700C66"/>
    <w:rsid w:val="37BEBF05"/>
    <w:rsid w:val="37C69A2A"/>
    <w:rsid w:val="37E79043"/>
    <w:rsid w:val="384B9DD9"/>
    <w:rsid w:val="38841E02"/>
    <w:rsid w:val="38B6F86D"/>
    <w:rsid w:val="3971339F"/>
    <w:rsid w:val="3A940707"/>
    <w:rsid w:val="3AD91FF4"/>
    <w:rsid w:val="3B0D03AB"/>
    <w:rsid w:val="3B0D8881"/>
    <w:rsid w:val="3B881605"/>
    <w:rsid w:val="3BDFA086"/>
    <w:rsid w:val="3C2617B0"/>
    <w:rsid w:val="3C6E2529"/>
    <w:rsid w:val="3C865A45"/>
    <w:rsid w:val="3C891420"/>
    <w:rsid w:val="3C95CC03"/>
    <w:rsid w:val="3D2B1B53"/>
    <w:rsid w:val="3D61E32C"/>
    <w:rsid w:val="3DA952BA"/>
    <w:rsid w:val="3DED3B01"/>
    <w:rsid w:val="3E0BC16C"/>
    <w:rsid w:val="3F45E516"/>
    <w:rsid w:val="3FA57C39"/>
    <w:rsid w:val="4067D165"/>
    <w:rsid w:val="40FCECDD"/>
    <w:rsid w:val="41BF71EA"/>
    <w:rsid w:val="41C81563"/>
    <w:rsid w:val="42BC725B"/>
    <w:rsid w:val="43C957F8"/>
    <w:rsid w:val="45630A5F"/>
    <w:rsid w:val="457C57EA"/>
    <w:rsid w:val="457DBF6B"/>
    <w:rsid w:val="4666DE29"/>
    <w:rsid w:val="4686BC5A"/>
    <w:rsid w:val="47F2E089"/>
    <w:rsid w:val="4808BB48"/>
    <w:rsid w:val="480EE71C"/>
    <w:rsid w:val="48AF048D"/>
    <w:rsid w:val="4A20276F"/>
    <w:rsid w:val="4A9C0FB2"/>
    <w:rsid w:val="4B0148CA"/>
    <w:rsid w:val="4B1E6599"/>
    <w:rsid w:val="4B4D73AE"/>
    <w:rsid w:val="4B9FBBEE"/>
    <w:rsid w:val="4C02ACC9"/>
    <w:rsid w:val="4CAF3664"/>
    <w:rsid w:val="4D464CD0"/>
    <w:rsid w:val="4D844B97"/>
    <w:rsid w:val="4DD03B32"/>
    <w:rsid w:val="4DD6C425"/>
    <w:rsid w:val="4DDBD4F4"/>
    <w:rsid w:val="4E0B515E"/>
    <w:rsid w:val="4E4CF651"/>
    <w:rsid w:val="4E54A5F1"/>
    <w:rsid w:val="4ECF225E"/>
    <w:rsid w:val="50D6C49E"/>
    <w:rsid w:val="51222A2A"/>
    <w:rsid w:val="5179B02F"/>
    <w:rsid w:val="51CE11EC"/>
    <w:rsid w:val="51DB7BE9"/>
    <w:rsid w:val="51E08CF7"/>
    <w:rsid w:val="51E74DFA"/>
    <w:rsid w:val="51F62FEA"/>
    <w:rsid w:val="5201ABB2"/>
    <w:rsid w:val="52548C1F"/>
    <w:rsid w:val="540D38AB"/>
    <w:rsid w:val="542CD61B"/>
    <w:rsid w:val="5477A8F1"/>
    <w:rsid w:val="54EBA2E3"/>
    <w:rsid w:val="5508762B"/>
    <w:rsid w:val="56D73D66"/>
    <w:rsid w:val="5780F911"/>
    <w:rsid w:val="5781E741"/>
    <w:rsid w:val="57B61655"/>
    <w:rsid w:val="5823AD83"/>
    <w:rsid w:val="58598B1D"/>
    <w:rsid w:val="5886B91C"/>
    <w:rsid w:val="58B6641F"/>
    <w:rsid w:val="59447371"/>
    <w:rsid w:val="5A87326B"/>
    <w:rsid w:val="5B392B97"/>
    <w:rsid w:val="5B5FF498"/>
    <w:rsid w:val="5C798B1D"/>
    <w:rsid w:val="5C804EBB"/>
    <w:rsid w:val="5D2931B2"/>
    <w:rsid w:val="5E61CEE0"/>
    <w:rsid w:val="5EDF61CC"/>
    <w:rsid w:val="5F063F87"/>
    <w:rsid w:val="5FBE3E98"/>
    <w:rsid w:val="6012D01D"/>
    <w:rsid w:val="60A0484F"/>
    <w:rsid w:val="60F9BC62"/>
    <w:rsid w:val="61913375"/>
    <w:rsid w:val="61D85023"/>
    <w:rsid w:val="624036B1"/>
    <w:rsid w:val="62453ADF"/>
    <w:rsid w:val="632942FA"/>
    <w:rsid w:val="64204C4D"/>
    <w:rsid w:val="64BF81F5"/>
    <w:rsid w:val="654FF8E1"/>
    <w:rsid w:val="65B89A38"/>
    <w:rsid w:val="66299444"/>
    <w:rsid w:val="66A166D7"/>
    <w:rsid w:val="671F5A66"/>
    <w:rsid w:val="67A79250"/>
    <w:rsid w:val="6824A723"/>
    <w:rsid w:val="685A8000"/>
    <w:rsid w:val="68C40C60"/>
    <w:rsid w:val="695C4E61"/>
    <w:rsid w:val="6965D98C"/>
    <w:rsid w:val="69B0DCD1"/>
    <w:rsid w:val="6A147A96"/>
    <w:rsid w:val="6A8122E2"/>
    <w:rsid w:val="6A9B4EC4"/>
    <w:rsid w:val="6AD5DE38"/>
    <w:rsid w:val="6B3D787C"/>
    <w:rsid w:val="6BB45575"/>
    <w:rsid w:val="6BE72299"/>
    <w:rsid w:val="6C6DDB57"/>
    <w:rsid w:val="6C8E85DF"/>
    <w:rsid w:val="6C92E245"/>
    <w:rsid w:val="6D47DEC3"/>
    <w:rsid w:val="6D6DDD3A"/>
    <w:rsid w:val="6D8FF648"/>
    <w:rsid w:val="6DAED192"/>
    <w:rsid w:val="6DD639DA"/>
    <w:rsid w:val="6F084FAD"/>
    <w:rsid w:val="6FA05548"/>
    <w:rsid w:val="70492DD5"/>
    <w:rsid w:val="709E5AF2"/>
    <w:rsid w:val="70E5C23C"/>
    <w:rsid w:val="70F9BC21"/>
    <w:rsid w:val="7238DDB6"/>
    <w:rsid w:val="7267B711"/>
    <w:rsid w:val="7269383A"/>
    <w:rsid w:val="729D538B"/>
    <w:rsid w:val="72B145EB"/>
    <w:rsid w:val="7355CB83"/>
    <w:rsid w:val="73689AA3"/>
    <w:rsid w:val="738401E7"/>
    <w:rsid w:val="73FE33F0"/>
    <w:rsid w:val="743F88EE"/>
    <w:rsid w:val="74579B7B"/>
    <w:rsid w:val="74B4AE72"/>
    <w:rsid w:val="74E3B03E"/>
    <w:rsid w:val="75012F9E"/>
    <w:rsid w:val="75272A61"/>
    <w:rsid w:val="76FFEDF8"/>
    <w:rsid w:val="771BA3AC"/>
    <w:rsid w:val="77A5A1A5"/>
    <w:rsid w:val="77BA1FE9"/>
    <w:rsid w:val="7800E9D3"/>
    <w:rsid w:val="780DB397"/>
    <w:rsid w:val="782E2C62"/>
    <w:rsid w:val="78800457"/>
    <w:rsid w:val="789EED3F"/>
    <w:rsid w:val="78C8E40D"/>
    <w:rsid w:val="790FD5C9"/>
    <w:rsid w:val="79151616"/>
    <w:rsid w:val="7937E56F"/>
    <w:rsid w:val="79F878AE"/>
    <w:rsid w:val="7A1FD514"/>
    <w:rsid w:val="7A2A6CA4"/>
    <w:rsid w:val="7A419A94"/>
    <w:rsid w:val="7A838D53"/>
    <w:rsid w:val="7A8F5A80"/>
    <w:rsid w:val="7B825234"/>
    <w:rsid w:val="7BC6C146"/>
    <w:rsid w:val="7C053B28"/>
    <w:rsid w:val="7C46CCB2"/>
    <w:rsid w:val="7C83097D"/>
    <w:rsid w:val="7CBE3455"/>
    <w:rsid w:val="7DC5C8B0"/>
    <w:rsid w:val="7E29CC1E"/>
    <w:rsid w:val="7E3D1491"/>
    <w:rsid w:val="7ED4B138"/>
    <w:rsid w:val="7F1D4B2D"/>
    <w:rsid w:val="7F27E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0AB8A"/>
  <w14:defaultImageDpi w14:val="330"/>
  <w15:docId w15:val="{1FBC34BF-8EF8-4304-8E94-5B6CFED95A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BD2C8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78800457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60CB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60CB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60C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CB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60C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sparcie.um.warszawa.pl/documents/67381/66522991/Za%C5%82.1_Standardy+dost%C4%99pno%C5%9Bci+architektonicznej+miasta+Warszawy.pdf/4400995e-4812-f653-a616-87ba5a552275?t=1669816770853" TargetMode="External" Id="rId8" /><Relationship Type="http://schemas.openxmlformats.org/officeDocument/2006/relationships/image" Target="media/image5.png" Id="rId13" /><Relationship Type="http://schemas.openxmlformats.org/officeDocument/2006/relationships/image" Target="media/image10.png" Id="rId18" /><Relationship Type="http://schemas.openxmlformats.org/officeDocument/2006/relationships/theme" Target="theme/theme1.xml" Id="rId26" /><Relationship Type="http://schemas.openxmlformats.org/officeDocument/2006/relationships/styles" Target="styles.xml" Id="rId3" /><Relationship Type="http://schemas.openxmlformats.org/officeDocument/2006/relationships/image" Target="media/image13.png" Id="rId21" /><Relationship Type="http://schemas.openxmlformats.org/officeDocument/2006/relationships/endnotes" Target="endnotes.xml" Id="rId7" /><Relationship Type="http://schemas.openxmlformats.org/officeDocument/2006/relationships/image" Target="media/image4.png" Id="rId12" /><Relationship Type="http://schemas.openxmlformats.org/officeDocument/2006/relationships/image" Target="media/image9.png" Id="rId17" /><Relationship Type="http://schemas.openxmlformats.org/officeDocument/2006/relationships/fontTable" Target="fontTable.xml" Id="rId25" /><Relationship Type="http://schemas.openxmlformats.org/officeDocument/2006/relationships/numbering" Target="numbering.xml" Id="rId2" /><Relationship Type="http://schemas.openxmlformats.org/officeDocument/2006/relationships/image" Target="media/image8.png" Id="rId16" /><Relationship Type="http://schemas.openxmlformats.org/officeDocument/2006/relationships/image" Target="media/image12.png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3.png" Id="rId11" /><Relationship Type="http://schemas.openxmlformats.org/officeDocument/2006/relationships/footer" Target="footer1.xml" Id="rId24" /><Relationship Type="http://schemas.openxmlformats.org/officeDocument/2006/relationships/webSettings" Target="webSettings.xml" Id="rId5" /><Relationship Type="http://schemas.openxmlformats.org/officeDocument/2006/relationships/image" Target="media/image7.png" Id="rId15" /><Relationship Type="http://schemas.openxmlformats.org/officeDocument/2006/relationships/header" Target="header1.xml" Id="rId23" /><Relationship Type="http://schemas.openxmlformats.org/officeDocument/2006/relationships/image" Target="media/image2.png" Id="rId10" /><Relationship Type="http://schemas.openxmlformats.org/officeDocument/2006/relationships/image" Target="media/image11.png" Id="rId19" /><Relationship Type="http://schemas.openxmlformats.org/officeDocument/2006/relationships/settings" Target="settings.xml" Id="rId4" /><Relationship Type="http://schemas.openxmlformats.org/officeDocument/2006/relationships/image" Target="media/image1.png" Id="rId9" /><Relationship Type="http://schemas.openxmlformats.org/officeDocument/2006/relationships/image" Target="media/image6.png" Id="rId14" /><Relationship Type="http://schemas.openxmlformats.org/officeDocument/2006/relationships/image" Target="media/image14.png" Id="rId2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Martyna Koseła</lastModifiedBy>
  <revision>274</revision>
  <dcterms:created xsi:type="dcterms:W3CDTF">2025-06-10T19:39:00.0000000Z</dcterms:created>
  <dcterms:modified xsi:type="dcterms:W3CDTF">2025-08-08T12:31:00.5497667Z</dcterms:modified>
  <category/>
</coreProperties>
</file>